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B2CAC">
        <w:rPr>
          <w:rFonts w:ascii="Times New Roman" w:hAnsi="Times New Roman"/>
          <w:bCs w:val="0"/>
          <w:caps/>
          <w:sz w:val="28"/>
          <w:szCs w:val="28"/>
        </w:rPr>
        <w:t>554</w:t>
      </w:r>
      <w:r w:rsidR="008D567D" w:rsidRPr="00A56B65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AC7C4E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AC7C4E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CB2CAC" w:rsidRPr="00CB2CAC">
        <w:rPr>
          <w:b/>
          <w:bCs/>
          <w:iCs/>
          <w:color w:val="000000" w:themeColor="text1"/>
          <w:szCs w:val="28"/>
        </w:rPr>
        <w:t xml:space="preserve">" Мероприятия по строительству и реконструкции электрических сетей до 10 </w:t>
      </w:r>
      <w:proofErr w:type="spellStart"/>
      <w:r w:rsidR="00CB2CAC" w:rsidRPr="00CB2CAC">
        <w:rPr>
          <w:b/>
          <w:bCs/>
          <w:iCs/>
          <w:color w:val="000000" w:themeColor="text1"/>
          <w:szCs w:val="28"/>
        </w:rPr>
        <w:t>кВ</w:t>
      </w:r>
      <w:proofErr w:type="spellEnd"/>
      <w:r w:rsidR="00CB2CAC" w:rsidRPr="00CB2CAC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="00CB2CAC" w:rsidRPr="00CB2CAC">
        <w:rPr>
          <w:b/>
          <w:bCs/>
          <w:iCs/>
          <w:color w:val="000000" w:themeColor="text1"/>
          <w:szCs w:val="28"/>
        </w:rPr>
        <w:t>Шкотовский</w:t>
      </w:r>
      <w:proofErr w:type="spellEnd"/>
      <w:r w:rsidR="00CB2CAC" w:rsidRPr="00CB2CAC">
        <w:rPr>
          <w:b/>
          <w:bCs/>
          <w:iCs/>
          <w:color w:val="000000" w:themeColor="text1"/>
          <w:szCs w:val="28"/>
        </w:rPr>
        <w:t xml:space="preserve"> район, г. Большой Камень, с. </w:t>
      </w:r>
      <w:proofErr w:type="spellStart"/>
      <w:r w:rsidR="00CB2CAC" w:rsidRPr="00CB2CAC">
        <w:rPr>
          <w:b/>
          <w:bCs/>
          <w:iCs/>
          <w:color w:val="000000" w:themeColor="text1"/>
          <w:szCs w:val="28"/>
        </w:rPr>
        <w:t>Анисимовка</w:t>
      </w:r>
      <w:proofErr w:type="spellEnd"/>
      <w:r w:rsidR="00CB2CAC" w:rsidRPr="00CB2CAC">
        <w:rPr>
          <w:b/>
          <w:bCs/>
          <w:iCs/>
          <w:color w:val="000000" w:themeColor="text1"/>
          <w:szCs w:val="28"/>
        </w:rPr>
        <w:t>, г. Фокино)", закупка 2119</w:t>
      </w:r>
    </w:p>
    <w:p w:rsidR="00CB2CAC" w:rsidRPr="001D4EA9" w:rsidRDefault="00CB2CA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AC7C4E">
              <w:rPr>
                <w:b/>
                <w:i/>
                <w:sz w:val="24"/>
                <w:szCs w:val="24"/>
              </w:rPr>
              <w:t>31806726</w:t>
            </w:r>
            <w:r w:rsidR="00CB2CAC">
              <w:rPr>
                <w:b/>
                <w:i/>
                <w:sz w:val="24"/>
                <w:szCs w:val="24"/>
              </w:rPr>
              <w:t>491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EF64B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EF64B6">
              <w:rPr>
                <w:b/>
                <w:bCs/>
                <w:caps/>
                <w:snapToGrid/>
                <w:sz w:val="26"/>
                <w:szCs w:val="26"/>
              </w:rPr>
              <w:t>17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AC7C4E">
              <w:rPr>
                <w:b/>
                <w:snapToGrid/>
                <w:sz w:val="26"/>
                <w:szCs w:val="26"/>
              </w:rPr>
              <w:t>августа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CB2CAC" w:rsidRPr="00CB2CAC">
        <w:rPr>
          <w:b/>
          <w:bCs/>
          <w:snapToGrid w:val="0"/>
          <w:sz w:val="26"/>
          <w:szCs w:val="26"/>
        </w:rPr>
        <w:t xml:space="preserve">" Мероприятия по строительству и реконструкции электрических сетей до 10 </w:t>
      </w:r>
      <w:proofErr w:type="spellStart"/>
      <w:r w:rsidR="00CB2CAC" w:rsidRPr="00CB2CAC">
        <w:rPr>
          <w:b/>
          <w:bCs/>
          <w:snapToGrid w:val="0"/>
          <w:sz w:val="26"/>
          <w:szCs w:val="26"/>
        </w:rPr>
        <w:t>кВ</w:t>
      </w:r>
      <w:proofErr w:type="spellEnd"/>
      <w:r w:rsidR="00CB2CAC" w:rsidRPr="00CB2CAC">
        <w:rPr>
          <w:b/>
          <w:b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="00CB2CAC" w:rsidRPr="00CB2CAC">
        <w:rPr>
          <w:b/>
          <w:bCs/>
          <w:snapToGrid w:val="0"/>
          <w:sz w:val="26"/>
          <w:szCs w:val="26"/>
        </w:rPr>
        <w:t>Шкотовский</w:t>
      </w:r>
      <w:proofErr w:type="spellEnd"/>
      <w:r w:rsidR="00CB2CAC" w:rsidRPr="00CB2CAC">
        <w:rPr>
          <w:b/>
          <w:bCs/>
          <w:snapToGrid w:val="0"/>
          <w:sz w:val="26"/>
          <w:szCs w:val="26"/>
        </w:rPr>
        <w:t xml:space="preserve"> район, г. Большой Камень, с. </w:t>
      </w:r>
      <w:proofErr w:type="spellStart"/>
      <w:r w:rsidR="00CB2CAC" w:rsidRPr="00CB2CAC">
        <w:rPr>
          <w:b/>
          <w:bCs/>
          <w:snapToGrid w:val="0"/>
          <w:sz w:val="26"/>
          <w:szCs w:val="26"/>
        </w:rPr>
        <w:t>Анисимовка</w:t>
      </w:r>
      <w:proofErr w:type="spellEnd"/>
      <w:r w:rsidR="00CB2CAC" w:rsidRPr="00CB2CAC">
        <w:rPr>
          <w:b/>
          <w:bCs/>
          <w:snapToGrid w:val="0"/>
          <w:sz w:val="26"/>
          <w:szCs w:val="26"/>
        </w:rPr>
        <w:t xml:space="preserve">, г. Фокино)", </w:t>
      </w:r>
      <w:r w:rsidR="00CB2CAC" w:rsidRPr="00CB2CAC">
        <w:rPr>
          <w:bCs/>
          <w:snapToGrid w:val="0"/>
          <w:sz w:val="26"/>
          <w:szCs w:val="26"/>
        </w:rPr>
        <w:t>закупка 2119.</w:t>
      </w:r>
    </w:p>
    <w:p w:rsidR="00AC7C4E" w:rsidRDefault="00AC7C4E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C7C4E" w:rsidRPr="00AC7C4E" w:rsidRDefault="00AC7C4E" w:rsidP="00AC7C4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C7C4E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AC7C4E" w:rsidRPr="00AC7C4E" w:rsidRDefault="00AC7C4E" w:rsidP="00CB2CAC">
      <w:pPr>
        <w:numPr>
          <w:ilvl w:val="0"/>
          <w:numId w:val="32"/>
        </w:numPr>
        <w:spacing w:after="200" w:line="276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C7C4E">
        <w:rPr>
          <w:bCs/>
          <w:i/>
          <w:iCs/>
          <w:snapToGrid/>
          <w:sz w:val="26"/>
          <w:szCs w:val="26"/>
        </w:rPr>
        <w:t xml:space="preserve">Об отклонении заявки участника закупки </w:t>
      </w:r>
      <w:r w:rsidR="00CB2CAC" w:rsidRPr="00CB2CAC">
        <w:rPr>
          <w:bCs/>
          <w:i/>
          <w:iCs/>
          <w:snapToGrid/>
          <w:sz w:val="26"/>
          <w:szCs w:val="26"/>
        </w:rPr>
        <w:t xml:space="preserve">ООО  "ТЕХЦЕНТР" </w:t>
      </w:r>
      <w:r w:rsidR="00CB2CAC">
        <w:rPr>
          <w:bCs/>
          <w:i/>
          <w:iCs/>
          <w:snapToGrid/>
          <w:sz w:val="26"/>
          <w:szCs w:val="26"/>
        </w:rPr>
        <w:t xml:space="preserve"> </w:t>
      </w:r>
      <w:r w:rsidRPr="00AC7C4E">
        <w:rPr>
          <w:bCs/>
          <w:i/>
          <w:iCs/>
          <w:snapToGrid/>
          <w:sz w:val="26"/>
          <w:szCs w:val="26"/>
        </w:rPr>
        <w:t>(основное предложение)</w:t>
      </w:r>
    </w:p>
    <w:p w:rsidR="00AC7C4E" w:rsidRPr="00AC7C4E" w:rsidRDefault="00AC7C4E" w:rsidP="00AC7C4E">
      <w:pPr>
        <w:numPr>
          <w:ilvl w:val="0"/>
          <w:numId w:val="32"/>
        </w:numPr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C7C4E">
        <w:rPr>
          <w:bCs/>
          <w:i/>
          <w:iCs/>
          <w:snapToGrid/>
          <w:sz w:val="26"/>
          <w:szCs w:val="26"/>
        </w:rPr>
        <w:t>О признании закупки несостоявшейся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CB2CAC" w:rsidRPr="00CB2CAC" w:rsidRDefault="00CB2CAC" w:rsidP="00CB2CA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CB2CA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B2CAC" w:rsidRPr="00CB2CAC" w:rsidRDefault="00CB2CAC" w:rsidP="00CB2CA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CB2CAC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p w:rsidR="00CB2CAC" w:rsidRPr="00CB2CAC" w:rsidRDefault="00CB2CAC" w:rsidP="00CB2CAC">
      <w:pPr>
        <w:keepNext/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CB2CAC" w:rsidRPr="00CB2CAC" w:rsidTr="00CD197A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AC" w:rsidRPr="00CB2CAC" w:rsidRDefault="00CB2CAC" w:rsidP="00CB2C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B2CAC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CB2CA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CB2CA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AC" w:rsidRPr="00CB2CAC" w:rsidRDefault="00CB2CAC" w:rsidP="00CB2C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B2CA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AC" w:rsidRPr="00CB2CAC" w:rsidRDefault="00CB2CAC" w:rsidP="00CB2C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B2CA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AC" w:rsidRPr="00CB2CAC" w:rsidRDefault="00CB2CAC" w:rsidP="00CB2C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B2CA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AC" w:rsidRPr="00CB2CAC" w:rsidRDefault="00CB2CAC" w:rsidP="00CB2C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B2CA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AC" w:rsidRPr="00CB2CAC" w:rsidRDefault="00CB2CAC" w:rsidP="00CB2C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B2CA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CB2CAC" w:rsidRPr="00CB2CAC" w:rsidTr="00CD197A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AC" w:rsidRPr="00CB2CAC" w:rsidRDefault="00CB2CAC" w:rsidP="00CB2C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B2CAC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AC" w:rsidRPr="00CB2CAC" w:rsidRDefault="00CB2CAC" w:rsidP="00CB2C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CB2CAC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31.07.2018 02:05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AC" w:rsidRPr="00CB2CAC" w:rsidRDefault="00CB2CAC" w:rsidP="00CB2C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CB2CAC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 "ТЕХЦЕНТР"</w:t>
            </w:r>
            <w:r w:rsidRPr="00CB2CAC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CB2CAC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CB2CAC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AC" w:rsidRPr="00CB2CAC" w:rsidRDefault="00CB2CAC" w:rsidP="00CB2C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CB2CAC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4 664 000.00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AC" w:rsidRPr="00CB2CAC" w:rsidRDefault="00CB2CAC" w:rsidP="00CB2C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CB2CAC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5 503 520.00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AC" w:rsidRPr="00CB2CAC" w:rsidRDefault="00CB2CAC" w:rsidP="00CB2C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CB2CAC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CB2CAC" w:rsidRPr="00CB2CAC" w:rsidRDefault="00CB2CAC" w:rsidP="00CB2CAC">
      <w:pPr>
        <w:numPr>
          <w:ilvl w:val="0"/>
          <w:numId w:val="38"/>
        </w:numPr>
        <w:tabs>
          <w:tab w:val="left" w:pos="993"/>
        </w:tabs>
        <w:spacing w:after="200" w:line="240" w:lineRule="auto"/>
        <w:ind w:firstLine="360"/>
        <w:contextualSpacing/>
        <w:jc w:val="left"/>
        <w:rPr>
          <w:rFonts w:eastAsiaTheme="minorHAnsi"/>
          <w:snapToGrid/>
          <w:sz w:val="26"/>
          <w:szCs w:val="26"/>
          <w:lang w:eastAsia="en-US"/>
        </w:rPr>
      </w:pPr>
      <w:r w:rsidRPr="00CB2CAC">
        <w:rPr>
          <w:rFonts w:eastAsiaTheme="minorHAnsi"/>
          <w:snapToGrid/>
          <w:sz w:val="26"/>
          <w:szCs w:val="26"/>
          <w:lang w:eastAsia="en-US"/>
        </w:rPr>
        <w:t xml:space="preserve">Отклонить заявку Участника </w:t>
      </w:r>
      <w:r w:rsidRPr="00CB2CAC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 "ТЕХЦЕНТР" </w:t>
      </w:r>
      <w:r w:rsidRPr="00CB2CAC">
        <w:rPr>
          <w:rFonts w:eastAsiaTheme="minorHAnsi"/>
          <w:snapToGrid/>
          <w:sz w:val="26"/>
          <w:szCs w:val="26"/>
          <w:lang w:eastAsia="en-US"/>
        </w:rPr>
        <w:t>от дальнейшего рассмотрения на основании п.</w:t>
      </w:r>
      <w:r w:rsidRPr="00CB2CAC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CB2CAC">
        <w:rPr>
          <w:rFonts w:eastAsiaTheme="minorHAnsi"/>
          <w:snapToGrid/>
          <w:sz w:val="26"/>
          <w:szCs w:val="26"/>
          <w:lang w:eastAsia="en-US"/>
        </w:rPr>
        <w:t>2.4.2.3 «б»  Документации о закупке, как несоответствующее следующим требованиям:</w:t>
      </w:r>
    </w:p>
    <w:p w:rsidR="00CB2CAC" w:rsidRPr="00CB2CAC" w:rsidRDefault="00CB2CAC" w:rsidP="00CB2CAC">
      <w:pPr>
        <w:tabs>
          <w:tab w:val="left" w:pos="993"/>
        </w:tabs>
        <w:spacing w:line="240" w:lineRule="auto"/>
        <w:ind w:firstLine="360"/>
        <w:contextualSpacing/>
        <w:jc w:val="left"/>
        <w:rPr>
          <w:rFonts w:eastAsiaTheme="minorHAnsi"/>
          <w:snapToGrid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B2CAC" w:rsidRPr="00CB2CAC" w:rsidTr="00CD197A">
        <w:tc>
          <w:tcPr>
            <w:tcW w:w="9747" w:type="dxa"/>
            <w:shd w:val="clear" w:color="auto" w:fill="auto"/>
          </w:tcPr>
          <w:p w:rsidR="00CB2CAC" w:rsidRPr="00CB2CAC" w:rsidRDefault="00CB2CAC" w:rsidP="00CB2CAC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B2CAC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Основания для отклонения</w:t>
            </w:r>
          </w:p>
        </w:tc>
      </w:tr>
      <w:tr w:rsidR="00CB2CAC" w:rsidRPr="00CB2CAC" w:rsidTr="00CD197A">
        <w:tc>
          <w:tcPr>
            <w:tcW w:w="9747" w:type="dxa"/>
            <w:shd w:val="clear" w:color="auto" w:fill="auto"/>
          </w:tcPr>
          <w:p w:rsidR="00CB2CAC" w:rsidRPr="00CB2CAC" w:rsidRDefault="00CB2CAC" w:rsidP="00CB2CAC">
            <w:pPr>
              <w:tabs>
                <w:tab w:val="left" w:pos="285"/>
              </w:tabs>
              <w:spacing w:after="200" w:line="240" w:lineRule="auto"/>
              <w:ind w:firstLine="0"/>
              <w:contextualSpacing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B2CAC">
              <w:rPr>
                <w:snapToGrid/>
                <w:sz w:val="26"/>
                <w:szCs w:val="26"/>
              </w:rPr>
              <w:t xml:space="preserve">Для выполнения инженерных изысканий Участником привлекается субподрядчик ООО «Синто». </w:t>
            </w:r>
            <w:proofErr w:type="gramStart"/>
            <w:r w:rsidRPr="00CB2CAC">
              <w:rPr>
                <w:snapToGrid/>
                <w:sz w:val="26"/>
                <w:szCs w:val="26"/>
              </w:rPr>
              <w:t>Это подтверждается представленным в составе Заявки Планом распределения объемов выполнения работ между генеральным подрядчиком и субподрядчиками, что не соответствует п.2.2.3.1 Документации о закупке, в котором установлено следующее требование:</w:t>
            </w:r>
            <w:proofErr w:type="gramEnd"/>
            <w:r w:rsidRPr="00CB2CAC">
              <w:rPr>
                <w:snapToGrid/>
                <w:sz w:val="26"/>
                <w:szCs w:val="26"/>
              </w:rPr>
              <w:t xml:space="preserve"> Подача заявок генеральным подрядчиком не допускается. В случае подачи заявки генеральным подрядчиком, она не будут рассматриваться по существу и будет отклонена от дальнейшего рассмотрения.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CB2CAC" w:rsidRPr="00CB2CAC" w:rsidRDefault="00CB2CAC" w:rsidP="00CB2CAC">
      <w:pPr>
        <w:tabs>
          <w:tab w:val="left" w:pos="426"/>
        </w:tabs>
        <w:spacing w:line="240" w:lineRule="auto"/>
        <w:rPr>
          <w:b/>
          <w:spacing w:val="4"/>
          <w:sz w:val="26"/>
          <w:szCs w:val="26"/>
        </w:rPr>
      </w:pPr>
      <w:r w:rsidRPr="00CB2CAC">
        <w:rPr>
          <w:sz w:val="26"/>
          <w:szCs w:val="26"/>
        </w:rPr>
        <w:t xml:space="preserve">1. </w:t>
      </w:r>
      <w:proofErr w:type="gramStart"/>
      <w:r w:rsidRPr="00CB2CAC">
        <w:rPr>
          <w:sz w:val="26"/>
          <w:szCs w:val="26"/>
        </w:rPr>
        <w:t>Признать закупку на право заключения договора на выполнение работ "</w:t>
      </w:r>
      <w:r w:rsidRPr="00CB2CAC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CB2CAC">
        <w:rPr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CB2CAC">
        <w:rPr>
          <w:sz w:val="26"/>
          <w:szCs w:val="26"/>
        </w:rPr>
        <w:t>кВ</w:t>
      </w:r>
      <w:proofErr w:type="spellEnd"/>
      <w:r w:rsidRPr="00CB2CAC">
        <w:rPr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Pr="00CB2CAC">
        <w:rPr>
          <w:sz w:val="26"/>
          <w:szCs w:val="26"/>
        </w:rPr>
        <w:t>Шкотовский</w:t>
      </w:r>
      <w:proofErr w:type="spellEnd"/>
      <w:r w:rsidRPr="00CB2CAC">
        <w:rPr>
          <w:sz w:val="26"/>
          <w:szCs w:val="26"/>
        </w:rPr>
        <w:t xml:space="preserve"> район, г. Большой Камень, с. </w:t>
      </w:r>
      <w:proofErr w:type="spellStart"/>
      <w:r w:rsidRPr="00CB2CAC">
        <w:rPr>
          <w:sz w:val="26"/>
          <w:szCs w:val="26"/>
        </w:rPr>
        <w:t>Анисимовка</w:t>
      </w:r>
      <w:proofErr w:type="spellEnd"/>
      <w:r w:rsidRPr="00CB2CAC">
        <w:rPr>
          <w:sz w:val="26"/>
          <w:szCs w:val="26"/>
        </w:rPr>
        <w:t>, г. Фокино)" несостоявшейся на основании пункта 7.8.8.2 Положения о закупке продукции для нужд АО «ДРСК», так как поступило менее двух заявок, соответствующих</w:t>
      </w:r>
      <w:proofErr w:type="gramEnd"/>
      <w:r w:rsidRPr="00CB2CAC">
        <w:rPr>
          <w:sz w:val="26"/>
          <w:szCs w:val="26"/>
        </w:rPr>
        <w:t xml:space="preserve"> требованиям Документации о закупке.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AC7C4E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AC7C4E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34" w:rsidRDefault="005C6034" w:rsidP="00355095">
      <w:pPr>
        <w:spacing w:line="240" w:lineRule="auto"/>
      </w:pPr>
      <w:r>
        <w:separator/>
      </w:r>
    </w:p>
  </w:endnote>
  <w:endnote w:type="continuationSeparator" w:id="0">
    <w:p w:rsidR="005C6034" w:rsidRDefault="005C60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64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64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34" w:rsidRDefault="005C6034" w:rsidP="00355095">
      <w:pPr>
        <w:spacing w:line="240" w:lineRule="auto"/>
      </w:pPr>
      <w:r>
        <w:separator/>
      </w:r>
    </w:p>
  </w:footnote>
  <w:footnote w:type="continuationSeparator" w:id="0">
    <w:p w:rsidR="005C6034" w:rsidRDefault="005C60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CB2CAC">
      <w:rPr>
        <w:i/>
        <w:sz w:val="20"/>
      </w:rPr>
      <w:t>2119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4F45C5B"/>
    <w:multiLevelType w:val="hybridMultilevel"/>
    <w:tmpl w:val="180C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5"/>
  </w:num>
  <w:num w:numId="9">
    <w:abstractNumId w:val="5"/>
  </w:num>
  <w:num w:numId="10">
    <w:abstractNumId w:val="32"/>
  </w:num>
  <w:num w:numId="11">
    <w:abstractNumId w:val="11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4"/>
  </w:num>
  <w:num w:numId="17">
    <w:abstractNumId w:val="17"/>
  </w:num>
  <w:num w:numId="18">
    <w:abstractNumId w:val="7"/>
  </w:num>
  <w:num w:numId="19">
    <w:abstractNumId w:val="6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0"/>
  </w:num>
  <w:num w:numId="37">
    <w:abstractNumId w:val="15"/>
  </w:num>
  <w:num w:numId="38">
    <w:abstractNumId w:val="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1ADF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0D96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034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31BB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C7C4E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078AF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2CAC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64B6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181</cp:revision>
  <cp:lastPrinted>2018-08-15T01:50:00Z</cp:lastPrinted>
  <dcterms:created xsi:type="dcterms:W3CDTF">2015-03-25T00:17:00Z</dcterms:created>
  <dcterms:modified xsi:type="dcterms:W3CDTF">2018-08-17T00:14:00Z</dcterms:modified>
</cp:coreProperties>
</file>