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D96DB0">
        <w:t xml:space="preserve"> Хабаровск</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D96DB0">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8E7589" w:rsidRPr="008E7589">
        <w:rPr>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(«Объекты линейной части нефтепровода» ООО «</w:t>
      </w:r>
      <w:proofErr w:type="spellStart"/>
      <w:r w:rsidR="008E7589" w:rsidRPr="008E7589">
        <w:rPr>
          <w:i/>
          <w:sz w:val="26"/>
          <w:szCs w:val="26"/>
        </w:rPr>
        <w:t>Транснефть</w:t>
      </w:r>
      <w:proofErr w:type="spellEnd"/>
      <w:r w:rsidR="008E7589" w:rsidRPr="008E7589">
        <w:rPr>
          <w:i/>
          <w:sz w:val="26"/>
          <w:szCs w:val="26"/>
        </w:rPr>
        <w:t>-Дальний Восток», «Доплеровский</w:t>
      </w:r>
      <w:proofErr w:type="gramEnd"/>
      <w:r w:rsidR="008E7589" w:rsidRPr="008E7589">
        <w:rPr>
          <w:i/>
          <w:sz w:val="26"/>
          <w:szCs w:val="26"/>
        </w:rPr>
        <w:t xml:space="preserve"> метеорологический радиолокатор» Комсомольский р-н.)</w:t>
      </w:r>
      <w:r w:rsidRPr="001C6A25">
        <w:rPr>
          <w:i/>
          <w:iCs/>
        </w:rPr>
        <w:t>, на основании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(указывает</w:t>
      </w:r>
      <w:bookmarkStart w:id="0" w:name="_GoBack"/>
      <w:bookmarkEnd w:id="0"/>
      <w:r w:rsidRPr="00710B48">
        <w:rPr>
          <w:i/>
          <w:iCs/>
        </w:rPr>
        <w:t xml:space="preserve">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8E7589" w:rsidRPr="008E7589">
        <w:rPr>
          <w:rFonts w:ascii="Times New Roman" w:hAnsi="Times New Roman" w:cs="Times New Roman"/>
          <w:b/>
          <w:i/>
          <w:iCs/>
          <w:sz w:val="24"/>
          <w:szCs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(«Объекты линейной части нефтепровода» ООО «</w:t>
      </w:r>
      <w:proofErr w:type="spellStart"/>
      <w:r w:rsidR="008E7589" w:rsidRPr="008E7589">
        <w:rPr>
          <w:rFonts w:ascii="Times New Roman" w:hAnsi="Times New Roman" w:cs="Times New Roman"/>
          <w:b/>
          <w:i/>
          <w:iCs/>
          <w:sz w:val="24"/>
          <w:szCs w:val="24"/>
        </w:rPr>
        <w:t>Транснефть</w:t>
      </w:r>
      <w:proofErr w:type="spellEnd"/>
      <w:r w:rsidR="008E7589" w:rsidRPr="008E7589">
        <w:rPr>
          <w:rFonts w:ascii="Times New Roman" w:hAnsi="Times New Roman" w:cs="Times New Roman"/>
          <w:b/>
          <w:i/>
          <w:iCs/>
          <w:sz w:val="24"/>
          <w:szCs w:val="24"/>
        </w:rPr>
        <w:t xml:space="preserve">-Дальний Восток», «Доплеровский метеорологический радиолокатор» Комсомольский р-н) </w:t>
      </w:r>
      <w:r w:rsidR="00CB6356" w:rsidRPr="001C6A25">
        <w:rPr>
          <w:rFonts w:ascii="Times New Roman" w:hAnsi="Times New Roman" w:cs="Times New Roman"/>
          <w:sz w:val="24"/>
          <w:szCs w:val="24"/>
        </w:rPr>
        <w:t>(далее по тексту договора - Объект) и сдать</w:t>
      </w:r>
      <w:proofErr w:type="gramEnd"/>
      <w:r w:rsidR="00CB6356" w:rsidRPr="001C6A25">
        <w:rPr>
          <w:rFonts w:ascii="Times New Roman" w:hAnsi="Times New Roman" w:cs="Times New Roman"/>
          <w:sz w:val="24"/>
          <w:szCs w:val="24"/>
        </w:rPr>
        <w:t xml:space="preserve"> результат Заказчику, а Заказчик обязуется</w:t>
      </w:r>
      <w:r w:rsidR="00CB6356" w:rsidRPr="00E56FDA">
        <w:rPr>
          <w:rFonts w:ascii="Times New Roman" w:hAnsi="Times New Roman" w:cs="Times New Roman"/>
          <w:sz w:val="24"/>
          <w:szCs w:val="24"/>
        </w:rPr>
        <w:t xml:space="preserve"> принять результат работ и оплатить его в </w:t>
      </w:r>
      <w:r w:rsidR="00CB6356" w:rsidRPr="00A0369B">
        <w:rPr>
          <w:rFonts w:ascii="Times New Roman" w:hAnsi="Times New Roman" w:cs="Times New Roman"/>
          <w:sz w:val="24"/>
          <w:szCs w:val="24"/>
        </w:rPr>
        <w:t>порядке, предусмотренном Договором.</w:t>
      </w:r>
    </w:p>
    <w:p w:rsidR="00C91260" w:rsidRPr="00FE71E7" w:rsidRDefault="00C91260" w:rsidP="00447816">
      <w:pPr>
        <w:pStyle w:val="af5"/>
        <w:numPr>
          <w:ilvl w:val="1"/>
          <w:numId w:val="1"/>
        </w:numPr>
        <w:shd w:val="clear" w:color="auto" w:fill="FFFFFF"/>
        <w:tabs>
          <w:tab w:val="clear" w:pos="1004"/>
          <w:tab w:val="left" w:pos="426"/>
          <w:tab w:val="left" w:pos="709"/>
          <w:tab w:val="left" w:pos="1418"/>
          <w:tab w:val="left" w:pos="1701"/>
        </w:tabs>
        <w:ind w:left="0" w:firstLine="284"/>
        <w:jc w:val="both"/>
        <w:rPr>
          <w:sz w:val="26"/>
          <w:szCs w:val="26"/>
        </w:rPr>
      </w:pPr>
      <w:r w:rsidRPr="00FE71E7">
        <w:rPr>
          <w:sz w:val="26"/>
          <w:szCs w:val="2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C91260" w:rsidRPr="00FE71E7" w:rsidRDefault="00C91260" w:rsidP="00447816">
      <w:pPr>
        <w:numPr>
          <w:ilvl w:val="1"/>
          <w:numId w:val="1"/>
        </w:numPr>
        <w:shd w:val="clear" w:color="auto" w:fill="FFFFFF"/>
        <w:tabs>
          <w:tab w:val="clear" w:pos="1004"/>
          <w:tab w:val="left" w:pos="0"/>
          <w:tab w:val="left" w:pos="142"/>
          <w:tab w:val="left" w:pos="709"/>
        </w:tabs>
        <w:ind w:left="0" w:firstLine="284"/>
        <w:jc w:val="both"/>
        <w:rPr>
          <w:sz w:val="26"/>
          <w:szCs w:val="26"/>
        </w:rPr>
      </w:pPr>
      <w:r w:rsidRPr="00FE71E7">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w:t>
      </w:r>
      <w:proofErr w:type="gramStart"/>
      <w:r w:rsidRPr="00710B48">
        <w:t xml:space="preserve">начала работ </w:t>
      </w:r>
      <w:r w:rsidR="00447816">
        <w:t>момента заключения договора</w:t>
      </w:r>
      <w:proofErr w:type="gramEnd"/>
      <w:r w:rsidRPr="00710B48">
        <w:t xml:space="preserve">. Работы по Договору должны быть завершены и объект должен быть подготовлен к сдаче в эксплуатацию не позднее </w:t>
      </w:r>
      <w:r w:rsidR="008E7589">
        <w:t>15.11.</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C91260" w:rsidRPr="0069001E" w:rsidRDefault="00C91260" w:rsidP="00C91260">
      <w:pPr>
        <w:widowControl w:val="0"/>
        <w:shd w:val="clear" w:color="auto" w:fill="FFFFFF"/>
        <w:tabs>
          <w:tab w:val="left" w:pos="993"/>
          <w:tab w:val="left" w:pos="1276"/>
        </w:tabs>
        <w:ind w:firstLine="709"/>
        <w:jc w:val="both"/>
        <w:rPr>
          <w:sz w:val="25"/>
          <w:szCs w:val="25"/>
        </w:rPr>
      </w:pPr>
      <w:r w:rsidRPr="0069001E">
        <w:rPr>
          <w:sz w:val="25"/>
          <w:szCs w:val="25"/>
        </w:rPr>
        <w:t>По настоящему Договору Подрядчик обязуется:</w:t>
      </w:r>
    </w:p>
    <w:p w:rsidR="00C91260" w:rsidRPr="00F350C1" w:rsidRDefault="00C91260" w:rsidP="00C91260">
      <w:pPr>
        <w:widowControl w:val="0"/>
        <w:numPr>
          <w:ilvl w:val="1"/>
          <w:numId w:val="2"/>
        </w:numPr>
        <w:shd w:val="clear" w:color="auto" w:fill="FFFFFF"/>
        <w:tabs>
          <w:tab w:val="clear" w:pos="1977"/>
          <w:tab w:val="num" w:pos="0"/>
          <w:tab w:val="left" w:pos="900"/>
          <w:tab w:val="left" w:pos="993"/>
          <w:tab w:val="left" w:pos="1276"/>
          <w:tab w:val="num" w:pos="1978"/>
        </w:tabs>
        <w:ind w:left="0" w:firstLine="709"/>
        <w:jc w:val="both"/>
        <w:rPr>
          <w:sz w:val="25"/>
          <w:szCs w:val="25"/>
        </w:rPr>
      </w:pPr>
      <w:r w:rsidRPr="0069001E">
        <w:rPr>
          <w:sz w:val="25"/>
          <w:szCs w:val="25"/>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69001E">
        <w:rPr>
          <w:snapToGrid w:val="0"/>
          <w:sz w:val="25"/>
          <w:szCs w:val="25"/>
        </w:rPr>
        <w:t xml:space="preserve">Календарным планом </w:t>
      </w:r>
      <w:r w:rsidRPr="00F350C1">
        <w:rPr>
          <w:snapToGrid w:val="0"/>
          <w:sz w:val="25"/>
          <w:szCs w:val="25"/>
        </w:rPr>
        <w:lastRenderedPageBreak/>
        <w:t xml:space="preserve">выполнения </w:t>
      </w:r>
      <w:r w:rsidRPr="00F350C1">
        <w:rPr>
          <w:sz w:val="25"/>
          <w:szCs w:val="25"/>
        </w:rPr>
        <w:t xml:space="preserve">работ </w:t>
      </w:r>
      <w:r w:rsidRPr="00F350C1">
        <w:rPr>
          <w:spacing w:val="-2"/>
          <w:sz w:val="25"/>
          <w:szCs w:val="25"/>
        </w:rPr>
        <w:t>(приложение №3</w:t>
      </w:r>
      <w:r w:rsidRPr="00F350C1">
        <w:rPr>
          <w:sz w:val="25"/>
          <w:szCs w:val="25"/>
        </w:rPr>
        <w:t xml:space="preserve"> к настоящему Договору</w:t>
      </w:r>
      <w:r w:rsidRPr="00F350C1">
        <w:rPr>
          <w:spacing w:val="-2"/>
          <w:sz w:val="25"/>
          <w:szCs w:val="25"/>
        </w:rPr>
        <w:t>) и сдать результат работы Заказчику.</w:t>
      </w:r>
    </w:p>
    <w:p w:rsidR="00F350C1" w:rsidRPr="00F350C1" w:rsidRDefault="00F350C1" w:rsidP="00F350C1">
      <w:pPr>
        <w:widowControl w:val="0"/>
        <w:shd w:val="clear" w:color="auto" w:fill="FFFFFF"/>
        <w:tabs>
          <w:tab w:val="left" w:pos="900"/>
          <w:tab w:val="left" w:pos="993"/>
          <w:tab w:val="left" w:pos="1276"/>
          <w:tab w:val="num" w:pos="1978"/>
        </w:tabs>
        <w:ind w:left="709"/>
        <w:jc w:val="both"/>
        <w:rPr>
          <w:sz w:val="25"/>
          <w:szCs w:val="25"/>
        </w:rPr>
      </w:pP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pacing w:val="-2"/>
          <w:sz w:val="25"/>
          <w:szCs w:val="25"/>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C91260" w:rsidRPr="0069001E" w:rsidRDefault="00C91260" w:rsidP="00C91260">
      <w:pPr>
        <w:widowControl w:val="0"/>
        <w:shd w:val="clear" w:color="auto" w:fill="FFFFFF"/>
        <w:tabs>
          <w:tab w:val="left" w:pos="900"/>
          <w:tab w:val="left" w:pos="993"/>
          <w:tab w:val="left" w:pos="1276"/>
          <w:tab w:val="num" w:pos="1977"/>
        </w:tabs>
        <w:ind w:firstLine="709"/>
        <w:jc w:val="both"/>
        <w:rPr>
          <w:spacing w:val="-2"/>
          <w:sz w:val="25"/>
          <w:szCs w:val="25"/>
        </w:rPr>
      </w:pPr>
      <w:r w:rsidRPr="0069001E">
        <w:rPr>
          <w:spacing w:val="-2"/>
          <w:sz w:val="25"/>
          <w:szCs w:val="25"/>
        </w:rPr>
        <w:t>Стороны обязуются в течение 10 (десяти) рабочих дней подписать согласованные локальные сметы в качестве приложения к настоящему договору.</w:t>
      </w:r>
    </w:p>
    <w:p w:rsidR="00C91260" w:rsidRPr="0069001E" w:rsidRDefault="00C91260" w:rsidP="00C91260">
      <w:pPr>
        <w:pStyle w:val="af5"/>
        <w:numPr>
          <w:ilvl w:val="1"/>
          <w:numId w:val="2"/>
        </w:numPr>
        <w:tabs>
          <w:tab w:val="clear" w:pos="1977"/>
          <w:tab w:val="num" w:pos="0"/>
        </w:tabs>
        <w:ind w:left="0" w:firstLine="568"/>
        <w:rPr>
          <w:sz w:val="25"/>
          <w:szCs w:val="25"/>
        </w:rPr>
      </w:pPr>
      <w:r w:rsidRPr="0069001E">
        <w:rPr>
          <w:sz w:val="25"/>
          <w:szCs w:val="25"/>
        </w:rPr>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69001E">
        <w:rPr>
          <w:sz w:val="25"/>
          <w:szCs w:val="25"/>
        </w:rPr>
        <w:t>в адрес Заказчика письмо о допуске подчиненного персонала к работе в действующих электроустановках с указанием</w:t>
      </w:r>
      <w:proofErr w:type="gramEnd"/>
      <w:r w:rsidRPr="0069001E">
        <w:rPr>
          <w:sz w:val="25"/>
          <w:szCs w:val="25"/>
        </w:rPr>
        <w:t xml:space="preserve"> Ф.И.О., должности, паспортных данных, группы по электробезопасности работников. </w:t>
      </w:r>
      <w:proofErr w:type="gramStart"/>
      <w:r w:rsidRPr="0069001E">
        <w:rPr>
          <w:sz w:val="25"/>
          <w:szCs w:val="25"/>
        </w:rPr>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C91260" w:rsidRPr="0069001E" w:rsidRDefault="00C91260" w:rsidP="00C91260">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sz w:val="25"/>
          <w:szCs w:val="25"/>
        </w:rPr>
      </w:pPr>
      <w:r w:rsidRPr="0069001E">
        <w:rPr>
          <w:sz w:val="25"/>
          <w:szCs w:val="25"/>
        </w:rPr>
        <w:t xml:space="preserve">  </w:t>
      </w:r>
      <w:r w:rsidRPr="0069001E">
        <w:rPr>
          <w:spacing w:val="-6"/>
          <w:sz w:val="25"/>
          <w:szCs w:val="25"/>
        </w:rPr>
        <w:t xml:space="preserve">Обеспечить наличие допусков, лицензий и разрешений, необходимых для проведения Работ. </w:t>
      </w:r>
      <w:proofErr w:type="gramStart"/>
      <w:r w:rsidRPr="0069001E">
        <w:rPr>
          <w:spacing w:val="-6"/>
          <w:sz w:val="25"/>
          <w:szCs w:val="25"/>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69001E" w:rsidRDefault="00C91260" w:rsidP="00C91260">
      <w:pPr>
        <w:widowControl w:val="0"/>
        <w:shd w:val="clear" w:color="auto" w:fill="FFFFFF"/>
        <w:tabs>
          <w:tab w:val="left" w:pos="900"/>
          <w:tab w:val="left" w:pos="1276"/>
          <w:tab w:val="num" w:pos="2120"/>
        </w:tabs>
        <w:ind w:firstLine="1135"/>
        <w:jc w:val="both"/>
        <w:rPr>
          <w:sz w:val="25"/>
          <w:szCs w:val="25"/>
        </w:rPr>
      </w:pPr>
      <w:r w:rsidRPr="0069001E">
        <w:rPr>
          <w:spacing w:val="-6"/>
          <w:sz w:val="25"/>
          <w:szCs w:val="25"/>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69001E">
        <w:rPr>
          <w:sz w:val="25"/>
          <w:szCs w:val="25"/>
        </w:rPr>
        <w:t>.</w:t>
      </w:r>
    </w:p>
    <w:p w:rsidR="00C91260" w:rsidRPr="0069001E" w:rsidRDefault="00C91260" w:rsidP="00C91260">
      <w:pPr>
        <w:pStyle w:val="af5"/>
        <w:widowControl w:val="0"/>
        <w:numPr>
          <w:ilvl w:val="1"/>
          <w:numId w:val="2"/>
        </w:numPr>
        <w:shd w:val="clear" w:color="auto" w:fill="FFFFFF"/>
        <w:tabs>
          <w:tab w:val="left" w:pos="900"/>
          <w:tab w:val="left" w:pos="993"/>
          <w:tab w:val="left" w:pos="1276"/>
        </w:tabs>
        <w:ind w:left="0" w:firstLine="709"/>
        <w:jc w:val="both"/>
        <w:rPr>
          <w:spacing w:val="-6"/>
          <w:sz w:val="25"/>
          <w:szCs w:val="25"/>
        </w:rPr>
      </w:pPr>
      <w:r w:rsidRPr="0069001E">
        <w:rPr>
          <w:spacing w:val="-6"/>
          <w:sz w:val="25"/>
          <w:szCs w:val="25"/>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69001E" w:rsidRDefault="00C91260" w:rsidP="00C91260">
      <w:pPr>
        <w:pStyle w:val="af5"/>
        <w:widowControl w:val="0"/>
        <w:numPr>
          <w:ilvl w:val="0"/>
          <w:numId w:val="22"/>
        </w:numPr>
        <w:shd w:val="clear" w:color="auto" w:fill="FFFFFF"/>
        <w:tabs>
          <w:tab w:val="left" w:pos="567"/>
        </w:tabs>
        <w:ind w:left="0" w:firstLine="284"/>
        <w:jc w:val="both"/>
        <w:rPr>
          <w:spacing w:val="-6"/>
          <w:sz w:val="25"/>
          <w:szCs w:val="25"/>
        </w:rPr>
      </w:pPr>
      <w:r w:rsidRPr="0069001E">
        <w:rPr>
          <w:spacing w:val="-6"/>
          <w:sz w:val="25"/>
          <w:szCs w:val="25"/>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69001E">
        <w:rPr>
          <w:spacing w:val="-6"/>
          <w:sz w:val="25"/>
          <w:szCs w:val="25"/>
        </w:rPr>
        <w:t>ств пр</w:t>
      </w:r>
      <w:proofErr w:type="gramEnd"/>
      <w:r w:rsidRPr="0069001E">
        <w:rPr>
          <w:spacing w:val="-6"/>
          <w:sz w:val="25"/>
          <w:szCs w:val="25"/>
        </w:rPr>
        <w:t>едложенной участником стоимости выполнения работ по договору;</w:t>
      </w:r>
    </w:p>
    <w:p w:rsidR="00C91260" w:rsidRPr="0069001E" w:rsidRDefault="00C91260" w:rsidP="00C91260">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sz w:val="25"/>
          <w:szCs w:val="25"/>
        </w:rPr>
      </w:pPr>
      <w:r w:rsidRPr="0069001E">
        <w:rPr>
          <w:spacing w:val="-6"/>
          <w:sz w:val="25"/>
          <w:szCs w:val="25"/>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69001E" w:rsidRDefault="00C91260" w:rsidP="00C91260">
      <w:pPr>
        <w:widowControl w:val="0"/>
        <w:shd w:val="clear" w:color="auto" w:fill="FFFFFF"/>
        <w:tabs>
          <w:tab w:val="left" w:pos="900"/>
          <w:tab w:val="left" w:pos="993"/>
          <w:tab w:val="left" w:pos="1276"/>
          <w:tab w:val="num" w:pos="2120"/>
        </w:tabs>
        <w:ind w:firstLine="1135"/>
        <w:jc w:val="both"/>
        <w:rPr>
          <w:sz w:val="25"/>
          <w:szCs w:val="25"/>
          <w:highlight w:val="yellow"/>
        </w:rPr>
      </w:pPr>
      <w:r w:rsidRPr="0069001E">
        <w:rPr>
          <w:spacing w:val="-6"/>
          <w:sz w:val="25"/>
          <w:szCs w:val="25"/>
        </w:rPr>
        <w:t xml:space="preserve">Во избежание сомнений, принятие соответствующего закона или иного нормативного акта не </w:t>
      </w:r>
      <w:proofErr w:type="gramStart"/>
      <w:r w:rsidRPr="0069001E">
        <w:rPr>
          <w:spacing w:val="-6"/>
          <w:sz w:val="25"/>
          <w:szCs w:val="25"/>
        </w:rPr>
        <w:t>будет рассматриваться для целей Договора как обстоятельство</w:t>
      </w:r>
      <w:r w:rsidRPr="00FE71E7">
        <w:rPr>
          <w:spacing w:val="-6"/>
          <w:sz w:val="26"/>
          <w:szCs w:val="26"/>
        </w:rPr>
        <w:t xml:space="preserve"> непреодолимой силы и </w:t>
      </w:r>
      <w:r w:rsidRPr="0069001E">
        <w:rPr>
          <w:spacing w:val="-6"/>
          <w:sz w:val="25"/>
          <w:szCs w:val="25"/>
        </w:rPr>
        <w:t>Подрядчик не</w:t>
      </w:r>
      <w:proofErr w:type="gramEnd"/>
      <w:r w:rsidRPr="0069001E">
        <w:rPr>
          <w:spacing w:val="-6"/>
          <w:sz w:val="25"/>
          <w:szCs w:val="25"/>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5"/>
          <w:szCs w:val="25"/>
        </w:rPr>
      </w:pPr>
      <w:r w:rsidRPr="0069001E">
        <w:rPr>
          <w:sz w:val="25"/>
          <w:szCs w:val="25"/>
        </w:rPr>
        <w:t xml:space="preserve">Поставить на </w:t>
      </w:r>
      <w:proofErr w:type="spellStart"/>
      <w:r w:rsidRPr="0069001E">
        <w:rPr>
          <w:sz w:val="25"/>
          <w:szCs w:val="25"/>
        </w:rPr>
        <w:t>приобъектный</w:t>
      </w:r>
      <w:proofErr w:type="spellEnd"/>
      <w:r w:rsidRPr="0069001E">
        <w:rPr>
          <w:sz w:val="25"/>
          <w:szCs w:val="25"/>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w:t>
      </w:r>
      <w:r w:rsidRPr="0069001E">
        <w:rPr>
          <w:sz w:val="25"/>
          <w:szCs w:val="25"/>
        </w:rPr>
        <w:lastRenderedPageBreak/>
        <w:t>Заказчику отчет о расходовании материалов.</w:t>
      </w:r>
    </w:p>
    <w:p w:rsidR="00C91260" w:rsidRPr="0069001E"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5"/>
          <w:szCs w:val="25"/>
        </w:rPr>
      </w:pPr>
      <w:r w:rsidRPr="0069001E">
        <w:rPr>
          <w:sz w:val="25"/>
          <w:szCs w:val="25"/>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9001E">
        <w:rPr>
          <w:i/>
          <w:sz w:val="25"/>
          <w:szCs w:val="25"/>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№4 к настоящему Договору.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FE71E7">
        <w:rPr>
          <w:sz w:val="26"/>
          <w:szCs w:val="26"/>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FE71E7">
        <w:rPr>
          <w:i/>
          <w:iCs/>
          <w:sz w:val="26"/>
          <w:szCs w:val="26"/>
        </w:rPr>
        <w:t xml:space="preserve"> </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Передать Заказчику в соответствии с требованиями </w:t>
      </w:r>
      <w:proofErr w:type="spellStart"/>
      <w:r w:rsidRPr="00FE71E7">
        <w:rPr>
          <w:sz w:val="26"/>
          <w:szCs w:val="26"/>
        </w:rPr>
        <w:t>п.п</w:t>
      </w:r>
      <w:proofErr w:type="spellEnd"/>
      <w:r w:rsidRPr="00FE71E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освидетельствовании скрытых работ и акты о промежуточной приемке отдельных ответственных конструкций;</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акты об индивидуальных испытаниях смонтированного оборудования;</w:t>
      </w:r>
    </w:p>
    <w:p w:rsidR="00C91260" w:rsidRPr="00FE71E7" w:rsidRDefault="00C91260" w:rsidP="00C91260">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91260" w:rsidRPr="00FE71E7" w:rsidRDefault="00C91260" w:rsidP="00C91260">
      <w:pPr>
        <w:pStyle w:val="af5"/>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Всю исполнительную документацию, касающуюся эксплуатации и использования объекта передать в срок, не позднее </w:t>
      </w:r>
      <w:r w:rsidR="008E7589">
        <w:rPr>
          <w:sz w:val="26"/>
          <w:szCs w:val="26"/>
        </w:rPr>
        <w:t>15.11</w:t>
      </w:r>
      <w:r w:rsidR="00447816">
        <w:rPr>
          <w:sz w:val="26"/>
          <w:szCs w:val="26"/>
        </w:rPr>
        <w:t>.</w:t>
      </w:r>
      <w:r w:rsidRPr="00FE71E7">
        <w:rPr>
          <w:sz w:val="26"/>
          <w:szCs w:val="26"/>
        </w:rPr>
        <w:t>2018 г.</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Незамедлительно известить Заказчика и до получения от него указаний приостановить работы при обнаружении:</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lastRenderedPageBreak/>
        <w:t>возможности неблагоприятных для Заказчика последствий выполнения его указаний о способе выполнения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FE71E7">
        <w:rPr>
          <w:sz w:val="26"/>
          <w:szCs w:val="26"/>
        </w:rPr>
        <w:t>иных, независящих от Подрядчика обстоятельств, угрожающих годности или прочности результатов выполняемой работы;</w:t>
      </w:r>
    </w:p>
    <w:p w:rsidR="00C91260" w:rsidRPr="00FE71E7" w:rsidRDefault="00C91260" w:rsidP="00C91260">
      <w:pPr>
        <w:pStyle w:val="af5"/>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FE71E7">
        <w:rPr>
          <w:sz w:val="26"/>
          <w:szCs w:val="26"/>
        </w:rPr>
        <w:t>иных обстоятельств, способных повлечь за собой изменение сроков или стоимости выполняемых работ.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FE71E7">
        <w:rPr>
          <w:sz w:val="26"/>
          <w:szCs w:val="26"/>
        </w:rPr>
        <w:t>Выполнить в полном объеме все свои обязательства, предусмотренные в других разделах и приложениях к настоящему Договору.</w:t>
      </w:r>
    </w:p>
    <w:p w:rsidR="00C91260" w:rsidRPr="00FE71E7" w:rsidRDefault="00C91260" w:rsidP="00C91260">
      <w:pPr>
        <w:widowControl w:val="0"/>
        <w:numPr>
          <w:ilvl w:val="1"/>
          <w:numId w:val="2"/>
        </w:numPr>
        <w:shd w:val="clear" w:color="auto" w:fill="FFFFFF" w:themeFill="background1"/>
        <w:tabs>
          <w:tab w:val="clear" w:pos="1977"/>
          <w:tab w:val="num" w:pos="0"/>
        </w:tabs>
        <w:ind w:left="0" w:firstLine="709"/>
        <w:jc w:val="both"/>
        <w:rPr>
          <w:sz w:val="26"/>
          <w:szCs w:val="26"/>
        </w:rPr>
      </w:pPr>
      <w:r w:rsidRPr="00FE71E7">
        <w:rPr>
          <w:sz w:val="26"/>
          <w:szCs w:val="26"/>
        </w:rPr>
        <w:t xml:space="preserve">Обеспечить наличие допусков, лицензий и разрешений, необходимых для проведения Работ. </w:t>
      </w:r>
      <w:proofErr w:type="gramStart"/>
      <w:r w:rsidRPr="00FE71E7">
        <w:rPr>
          <w:sz w:val="26"/>
          <w:szCs w:val="2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C91260" w:rsidRPr="00FE71E7" w:rsidRDefault="00C91260" w:rsidP="00C91260">
      <w:pPr>
        <w:widowControl w:val="0"/>
        <w:numPr>
          <w:ilvl w:val="1"/>
          <w:numId w:val="2"/>
        </w:numPr>
        <w:shd w:val="clear" w:color="auto" w:fill="FFFFFF" w:themeFill="background1"/>
        <w:tabs>
          <w:tab w:val="clear" w:pos="1977"/>
          <w:tab w:val="num" w:pos="0"/>
        </w:tabs>
        <w:ind w:left="0" w:firstLine="567"/>
        <w:jc w:val="both"/>
        <w:rPr>
          <w:sz w:val="26"/>
          <w:szCs w:val="26"/>
        </w:rPr>
      </w:pPr>
      <w:r w:rsidRPr="00FE71E7">
        <w:rPr>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 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C91260" w:rsidRPr="00FE71E7" w:rsidRDefault="00C91260" w:rsidP="00C91260">
      <w:pPr>
        <w:widowControl w:val="0"/>
        <w:numPr>
          <w:ilvl w:val="1"/>
          <w:numId w:val="2"/>
        </w:numPr>
        <w:shd w:val="clear" w:color="auto" w:fill="FFFFFF" w:themeFill="background1"/>
        <w:tabs>
          <w:tab w:val="clear" w:pos="1977"/>
        </w:tabs>
        <w:ind w:left="0" w:firstLine="567"/>
        <w:jc w:val="both"/>
        <w:rPr>
          <w:sz w:val="26"/>
          <w:szCs w:val="26"/>
        </w:rPr>
      </w:pPr>
      <w:r w:rsidRPr="00FE71E7">
        <w:rPr>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71E7">
        <w:rPr>
          <w:sz w:val="26"/>
          <w:szCs w:val="26"/>
        </w:rPr>
        <w:t>ств пр</w:t>
      </w:r>
      <w:proofErr w:type="gramEnd"/>
      <w:r w:rsidRPr="00FE71E7">
        <w:rPr>
          <w:sz w:val="26"/>
          <w:szCs w:val="26"/>
        </w:rPr>
        <w:t>едложенной участником стоимости выполнения работ по договору;</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567"/>
        <w:jc w:val="both"/>
        <w:rPr>
          <w:sz w:val="26"/>
          <w:szCs w:val="26"/>
        </w:rPr>
      </w:pPr>
      <w:r w:rsidRPr="00FE71E7">
        <w:rPr>
          <w:sz w:val="26"/>
          <w:szCs w:val="26"/>
        </w:rP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C91260" w:rsidRPr="00FE71E7" w:rsidRDefault="00C91260" w:rsidP="00C91260">
      <w:pPr>
        <w:widowControl w:val="0"/>
        <w:numPr>
          <w:ilvl w:val="1"/>
          <w:numId w:val="2"/>
        </w:numPr>
        <w:shd w:val="clear" w:color="auto" w:fill="FFFFFF"/>
        <w:tabs>
          <w:tab w:val="clear" w:pos="1977"/>
          <w:tab w:val="num" w:pos="0"/>
          <w:tab w:val="left" w:pos="709"/>
          <w:tab w:val="left" w:pos="993"/>
          <w:tab w:val="left" w:pos="1276"/>
        </w:tabs>
        <w:ind w:left="0" w:firstLine="709"/>
        <w:jc w:val="both"/>
        <w:rPr>
          <w:sz w:val="26"/>
          <w:szCs w:val="26"/>
        </w:rPr>
      </w:pPr>
      <w:r w:rsidRPr="00FE71E7">
        <w:rPr>
          <w:sz w:val="26"/>
          <w:szCs w:val="26"/>
        </w:rPr>
        <w:t xml:space="preserve">Во избежание сомнений, принятие соответствующего закона или иного нормативного акта не </w:t>
      </w:r>
      <w:proofErr w:type="gramStart"/>
      <w:r w:rsidRPr="00FE71E7">
        <w:rPr>
          <w:sz w:val="26"/>
          <w:szCs w:val="26"/>
        </w:rPr>
        <w:t>будет рассматриваться для целей Договора как обстоятельство непреодолимой силы и Подрядчик не</w:t>
      </w:r>
      <w:proofErr w:type="gramEnd"/>
      <w:r w:rsidRPr="00FE71E7">
        <w:rPr>
          <w:sz w:val="26"/>
          <w:szCs w:val="2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C91260" w:rsidRPr="00FE71E7" w:rsidRDefault="00C91260" w:rsidP="00C91260">
      <w:pPr>
        <w:widowControl w:val="0"/>
        <w:numPr>
          <w:ilvl w:val="1"/>
          <w:numId w:val="2"/>
        </w:numPr>
        <w:shd w:val="clear" w:color="auto" w:fill="FFFFFF"/>
        <w:tabs>
          <w:tab w:val="clear" w:pos="1977"/>
          <w:tab w:val="num" w:pos="0"/>
          <w:tab w:val="left" w:pos="900"/>
          <w:tab w:val="left" w:pos="993"/>
          <w:tab w:val="left" w:pos="1276"/>
        </w:tabs>
        <w:ind w:left="0" w:firstLine="709"/>
        <w:jc w:val="both"/>
        <w:rPr>
          <w:sz w:val="26"/>
          <w:szCs w:val="26"/>
        </w:rPr>
      </w:pPr>
      <w:r w:rsidRPr="00FE71E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 xml:space="preserve">После подписания сторонами актов  о приемке выполненных работ в течение </w:t>
      </w:r>
      <w:r w:rsidRPr="00FE71E7">
        <w:rPr>
          <w:sz w:val="26"/>
          <w:szCs w:val="26"/>
        </w:rPr>
        <w:lastRenderedPageBreak/>
        <w:t>10 дней возвратить демонтированное имущество Заказчику или с письменного согласия Заказчика возместить стоимость данного имущества.</w:t>
      </w:r>
    </w:p>
    <w:p w:rsidR="00C91260" w:rsidRPr="00FE71E7" w:rsidRDefault="00C91260" w:rsidP="00C91260">
      <w:pPr>
        <w:pStyle w:val="af5"/>
        <w:numPr>
          <w:ilvl w:val="1"/>
          <w:numId w:val="2"/>
        </w:numPr>
        <w:tabs>
          <w:tab w:val="clear" w:pos="1977"/>
          <w:tab w:val="num" w:pos="0"/>
          <w:tab w:val="left" w:pos="1276"/>
        </w:tabs>
        <w:ind w:left="0" w:firstLine="720"/>
        <w:jc w:val="both"/>
        <w:rPr>
          <w:sz w:val="26"/>
          <w:szCs w:val="26"/>
        </w:rPr>
      </w:pPr>
      <w:r w:rsidRPr="00FE71E7">
        <w:rPr>
          <w:sz w:val="26"/>
          <w:szCs w:val="26"/>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№5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91260" w:rsidRPr="00FE71E7" w:rsidRDefault="00C91260" w:rsidP="00C91260">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FE71E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91260" w:rsidRPr="00FE71E7" w:rsidRDefault="00C91260" w:rsidP="00C91260">
      <w:pPr>
        <w:widowControl w:val="0"/>
        <w:numPr>
          <w:ilvl w:val="1"/>
          <w:numId w:val="2"/>
        </w:numPr>
        <w:shd w:val="clear" w:color="auto" w:fill="FFFFFF"/>
        <w:tabs>
          <w:tab w:val="left" w:pos="900"/>
          <w:tab w:val="left" w:pos="993"/>
          <w:tab w:val="left" w:pos="1276"/>
        </w:tabs>
        <w:ind w:left="0" w:firstLine="710"/>
        <w:jc w:val="both"/>
        <w:rPr>
          <w:sz w:val="26"/>
          <w:szCs w:val="26"/>
        </w:rPr>
      </w:pPr>
      <w:r w:rsidRPr="00FE71E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FE71E7">
        <w:rPr>
          <w:sz w:val="26"/>
          <w:szCs w:val="26"/>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FE71E7">
        <w:rPr>
          <w:sz w:val="26"/>
          <w:szCs w:val="26"/>
        </w:rPr>
        <w:t>необходимыми</w:t>
      </w:r>
      <w:proofErr w:type="gramEnd"/>
      <w:r w:rsidRPr="00FE71E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Проводить со своими работниками и субподрядчиками мероприятия, </w:t>
      </w:r>
      <w:r w:rsidRPr="00FE71E7">
        <w:rPr>
          <w:sz w:val="26"/>
          <w:szCs w:val="26"/>
        </w:rPr>
        <w:lastRenderedPageBreak/>
        <w:t>установленные правилами СУОТ АО «ДРСК», на территории Заказчика (День Охраны труда, День культуры производства и т.п.).</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предотвращать любые негативные воздействие на окружающую среду;</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после выполнения работ Подрядчик обязан провести работы по рекультивации земель;</w:t>
      </w:r>
    </w:p>
    <w:p w:rsidR="00C91260" w:rsidRPr="00FE71E7" w:rsidRDefault="00C91260" w:rsidP="00C91260">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FE71E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Самостоятельно осуществлять страхование от несчастных случаев на производстве. </w:t>
      </w:r>
      <w:proofErr w:type="gramStart"/>
      <w:r w:rsidRPr="00FE71E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E71E7">
        <w:rPr>
          <w:sz w:val="26"/>
          <w:szCs w:val="26"/>
        </w:rPr>
        <w:t>внутриобъектного</w:t>
      </w:r>
      <w:proofErr w:type="spellEnd"/>
      <w:r w:rsidRPr="00FE71E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91260" w:rsidRPr="00FE71E7" w:rsidRDefault="00C91260" w:rsidP="00C91260">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FE71E7">
        <w:rPr>
          <w:sz w:val="26"/>
          <w:szCs w:val="26"/>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w:t>
      </w:r>
      <w:r w:rsidRPr="00FE71E7">
        <w:rPr>
          <w:sz w:val="26"/>
          <w:szCs w:val="26"/>
        </w:rPr>
        <w:lastRenderedPageBreak/>
        <w:t>труда, в том числе по результатам проверки Заказчика.</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3.37.В срок не позднее 14 (четырнадцати) календарных дней </w:t>
      </w:r>
      <w:proofErr w:type="gramStart"/>
      <w:r w:rsidRPr="00FE71E7">
        <w:rPr>
          <w:color w:val="000000" w:themeColor="text1"/>
          <w:sz w:val="26"/>
          <w:szCs w:val="26"/>
        </w:rPr>
        <w:t>с даты вступления</w:t>
      </w:r>
      <w:proofErr w:type="gramEnd"/>
      <w:r w:rsidRPr="00FE71E7">
        <w:rPr>
          <w:color w:val="000000" w:themeColor="text1"/>
          <w:sz w:val="26"/>
          <w:szCs w:val="26"/>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9 к Договору), представив Заказчику копию указанного договора.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 xml:space="preserve">3.38. </w:t>
      </w:r>
      <w:proofErr w:type="gramStart"/>
      <w:r w:rsidRPr="00FE71E7">
        <w:rPr>
          <w:color w:val="000000" w:themeColor="text1"/>
          <w:sz w:val="26"/>
          <w:szCs w:val="26"/>
        </w:rPr>
        <w:t>Оплатить страховую премию в</w:t>
      </w:r>
      <w:proofErr w:type="gramEnd"/>
      <w:r w:rsidRPr="00FE71E7">
        <w:rPr>
          <w:color w:val="000000" w:themeColor="text1"/>
          <w:sz w:val="26"/>
          <w:szCs w:val="26"/>
        </w:rPr>
        <w:t xml:space="preserve"> порядке и на условиях, предусмотренных договором страхования, заключенным в соответствии с пунктом 3.37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C91260" w:rsidRPr="00FE71E7" w:rsidRDefault="00C91260" w:rsidP="00C91260">
      <w:pPr>
        <w:widowControl w:val="0"/>
        <w:tabs>
          <w:tab w:val="left" w:pos="1276"/>
        </w:tabs>
        <w:ind w:firstLine="709"/>
        <w:jc w:val="both"/>
        <w:rPr>
          <w:color w:val="000000" w:themeColor="text1"/>
          <w:sz w:val="26"/>
          <w:szCs w:val="26"/>
        </w:rPr>
      </w:pPr>
      <w:r w:rsidRPr="00FE71E7">
        <w:rPr>
          <w:color w:val="000000" w:themeColor="text1"/>
          <w:sz w:val="26"/>
          <w:szCs w:val="26"/>
        </w:rPr>
        <w:t>3.39. Направлять Заказчику копию всей переписки, связанной с исполнением договора страхования, заключенного в соответствии с пунктом 3.37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91260" w:rsidRPr="00FE71E7" w:rsidRDefault="00C91260" w:rsidP="00C91260">
      <w:pPr>
        <w:widowControl w:val="0"/>
        <w:shd w:val="clear" w:color="auto" w:fill="FFFFFF"/>
        <w:tabs>
          <w:tab w:val="left" w:pos="900"/>
          <w:tab w:val="left" w:pos="993"/>
          <w:tab w:val="left" w:pos="1276"/>
          <w:tab w:val="num" w:pos="1978"/>
        </w:tabs>
        <w:jc w:val="both"/>
        <w:rPr>
          <w:sz w:val="26"/>
          <w:szCs w:val="26"/>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lastRenderedPageBreak/>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484FF5" w:rsidRDefault="00991F34" w:rsidP="00484FF5">
      <w:pPr>
        <w:widowControl w:val="0"/>
        <w:numPr>
          <w:ilvl w:val="1"/>
          <w:numId w:val="26"/>
        </w:numPr>
        <w:shd w:val="clear" w:color="auto" w:fill="FFFFFF" w:themeFill="background1"/>
        <w:tabs>
          <w:tab w:val="clear" w:pos="1713"/>
          <w:tab w:val="left" w:pos="1276"/>
          <w:tab w:val="num" w:pos="1843"/>
        </w:tabs>
        <w:ind w:left="0" w:firstLine="709"/>
        <w:jc w:val="both"/>
        <w:rPr>
          <w:bCs/>
        </w:rPr>
      </w:pPr>
      <w:r w:rsidRPr="00484FF5">
        <w:rPr>
          <w:bCs/>
        </w:rPr>
        <w:t xml:space="preserve">Подрядчик обязан в течение 30 (тридцати) календарных дней </w:t>
      </w:r>
      <w:proofErr w:type="gramStart"/>
      <w:r w:rsidRPr="00484FF5">
        <w:rPr>
          <w:bCs/>
        </w:rPr>
        <w:t>с даты начала</w:t>
      </w:r>
      <w:proofErr w:type="gramEnd"/>
      <w:r w:rsidRPr="00484FF5">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w:t>
      </w:r>
      <w:r w:rsidRPr="00484FF5">
        <w:rPr>
          <w:bCs/>
        </w:rPr>
        <w:lastRenderedPageBreak/>
        <w:t>платежа.</w:t>
      </w:r>
    </w:p>
    <w:p w:rsidR="00991F34" w:rsidRPr="00484FF5" w:rsidRDefault="00991F34" w:rsidP="00484FF5">
      <w:pPr>
        <w:widowControl w:val="0"/>
        <w:numPr>
          <w:ilvl w:val="1"/>
          <w:numId w:val="26"/>
        </w:numPr>
        <w:shd w:val="clear" w:color="auto" w:fill="FFFFFF" w:themeFill="background1"/>
        <w:tabs>
          <w:tab w:val="clear" w:pos="1713"/>
          <w:tab w:val="num" w:pos="0"/>
          <w:tab w:val="left" w:pos="1276"/>
        </w:tabs>
        <w:ind w:left="0" w:firstLine="709"/>
        <w:jc w:val="both"/>
        <w:rPr>
          <w:bCs/>
        </w:rPr>
      </w:pPr>
      <w:r w:rsidRPr="00484FF5">
        <w:rPr>
          <w:bCs/>
        </w:rPr>
        <w:t xml:space="preserve">Выплата Обеспечительного платежа производится в течение 30 (тридцати) календарных дней </w:t>
      </w:r>
      <w:proofErr w:type="gramStart"/>
      <w:r w:rsidRPr="00484FF5">
        <w:rPr>
          <w:bCs/>
        </w:rPr>
        <w:t>с даты получения</w:t>
      </w:r>
      <w:proofErr w:type="gramEnd"/>
      <w:r w:rsidRPr="00484FF5">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484FF5">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991F34" w:rsidRPr="00484FF5" w:rsidRDefault="00991F34" w:rsidP="00484FF5">
      <w:pPr>
        <w:widowControl w:val="0"/>
        <w:shd w:val="clear" w:color="auto" w:fill="FFFFFF" w:themeFill="background1"/>
        <w:tabs>
          <w:tab w:val="left" w:pos="1276"/>
        </w:tabs>
        <w:ind w:left="709"/>
        <w:jc w:val="both"/>
        <w:rPr>
          <w:b/>
          <w:bCs/>
          <w:color w:val="000000"/>
        </w:rPr>
      </w:pPr>
    </w:p>
    <w:p w:rsidR="00991F34" w:rsidRPr="00484FF5" w:rsidRDefault="00991F34" w:rsidP="00484FF5">
      <w:pPr>
        <w:widowControl w:val="0"/>
        <w:shd w:val="clear" w:color="auto" w:fill="FFFFFF" w:themeFill="background1"/>
        <w:tabs>
          <w:tab w:val="left" w:pos="953"/>
        </w:tabs>
        <w:autoSpaceDE w:val="0"/>
        <w:autoSpaceDN w:val="0"/>
        <w:adjustRightInd w:val="0"/>
        <w:rPr>
          <w:color w:val="000000"/>
        </w:rPr>
      </w:pPr>
    </w:p>
    <w:p w:rsidR="00991F34" w:rsidRPr="00484FF5" w:rsidRDefault="00991F34" w:rsidP="00484FF5">
      <w:pPr>
        <w:pStyle w:val="af5"/>
        <w:widowControl w:val="0"/>
        <w:numPr>
          <w:ilvl w:val="0"/>
          <w:numId w:val="26"/>
        </w:numPr>
        <w:shd w:val="clear" w:color="auto" w:fill="FFFFFF" w:themeFill="background1"/>
        <w:autoSpaceDE w:val="0"/>
        <w:autoSpaceDN w:val="0"/>
        <w:adjustRightInd w:val="0"/>
        <w:jc w:val="center"/>
        <w:rPr>
          <w:b/>
          <w:color w:val="000000"/>
        </w:rPr>
      </w:pPr>
      <w:r w:rsidRPr="00484FF5">
        <w:rPr>
          <w:b/>
          <w:color w:val="000000"/>
        </w:rPr>
        <w:t>Условия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7.1. </w:t>
      </w:r>
      <w:proofErr w:type="gramStart"/>
      <w:r w:rsidRPr="00484FF5">
        <w:rPr>
          <w:color w:val="000000" w:themeColor="text1"/>
        </w:rPr>
        <w:t>Банковская гарантия, предоставляемая Подрядчиком Заказчику по Договору регулируется</w:t>
      </w:r>
      <w:proofErr w:type="gramEnd"/>
      <w:r w:rsidRPr="00484FF5">
        <w:rPr>
          <w:color w:val="000000" w:themeColor="text1"/>
        </w:rPr>
        <w:t xml:space="preserve"> унифицированными правилами Международной торговой палаты – публикация МТП № 758 (ICC </w:t>
      </w:r>
      <w:proofErr w:type="spellStart"/>
      <w:r w:rsidRPr="00484FF5">
        <w:rPr>
          <w:color w:val="000000" w:themeColor="text1"/>
        </w:rPr>
        <w:t>Uniform</w:t>
      </w:r>
      <w:proofErr w:type="spellEnd"/>
      <w:r w:rsidRPr="00484FF5">
        <w:rPr>
          <w:color w:val="000000" w:themeColor="text1"/>
        </w:rPr>
        <w:t xml:space="preserve"> </w:t>
      </w:r>
      <w:proofErr w:type="spellStart"/>
      <w:r w:rsidRPr="00484FF5">
        <w:rPr>
          <w:color w:val="000000" w:themeColor="text1"/>
        </w:rPr>
        <w:t>Rules</w:t>
      </w:r>
      <w:proofErr w:type="spellEnd"/>
      <w:r w:rsidRPr="00484FF5">
        <w:rPr>
          <w:color w:val="000000" w:themeColor="text1"/>
        </w:rPr>
        <w:t xml:space="preserve"> </w:t>
      </w:r>
      <w:proofErr w:type="spellStart"/>
      <w:r w:rsidRPr="00484FF5">
        <w:rPr>
          <w:color w:val="000000" w:themeColor="text1"/>
        </w:rPr>
        <w:t>Demand</w:t>
      </w:r>
      <w:proofErr w:type="spellEnd"/>
      <w:r w:rsidRPr="00484FF5">
        <w:rPr>
          <w:color w:val="000000" w:themeColor="text1"/>
        </w:rPr>
        <w:t xml:space="preserve"> </w:t>
      </w:r>
      <w:proofErr w:type="spellStart"/>
      <w:r w:rsidRPr="00484FF5">
        <w:rPr>
          <w:color w:val="000000" w:themeColor="text1"/>
        </w:rPr>
        <w:t>Guarantees</w:t>
      </w:r>
      <w:proofErr w:type="spellEnd"/>
      <w:r w:rsidRPr="00484FF5">
        <w:rPr>
          <w:color w:val="000000" w:themeColor="text1"/>
        </w:rPr>
        <w:t xml:space="preserve"> – ICC </w:t>
      </w:r>
      <w:proofErr w:type="spellStart"/>
      <w:r w:rsidRPr="00484FF5">
        <w:rPr>
          <w:color w:val="000000" w:themeColor="text1"/>
        </w:rPr>
        <w:t>Publication</w:t>
      </w:r>
      <w:proofErr w:type="spellEnd"/>
      <w:r w:rsidRPr="00484FF5">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484FF5" w:rsidRDefault="00991F34" w:rsidP="00484FF5">
      <w:pPr>
        <w:pStyle w:val="af6"/>
        <w:shd w:val="clear" w:color="auto" w:fill="FFFFFF" w:themeFill="background1"/>
        <w:tabs>
          <w:tab w:val="left" w:pos="0"/>
          <w:tab w:val="left" w:pos="1276"/>
        </w:tabs>
        <w:spacing w:after="0"/>
        <w:ind w:left="0" w:firstLine="709"/>
        <w:jc w:val="both"/>
        <w:rPr>
          <w:color w:val="000000" w:themeColor="text1"/>
        </w:rPr>
      </w:pPr>
      <w:r w:rsidRPr="00484FF5">
        <w:rPr>
          <w:color w:val="000000" w:themeColor="text1"/>
        </w:rPr>
        <w:t>- банковская гарантия должна быть безотзывной и безусловной (гарантия по первому требованию);</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бенефициар по банковской гарантии - Заказчик, принципал – Подрядчик;</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сумма банковской гарантии выражена в валюте расчетов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Банк, выдавший Банковскую гарантию, должен соответствовать критериям, указанным в Приложении №7 к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7.2.</w:t>
      </w:r>
      <w:r w:rsidRPr="00484FF5">
        <w:rPr>
          <w:color w:val="000000" w:themeColor="text1"/>
        </w:rPr>
        <w:t xml:space="preserve"> Сумма банковской гарантии надлежащего исполнения обязательств по Договору должна составлять не менее:</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10 (десяти) процентов от цены Договора / объекта;</w:t>
      </w:r>
    </w:p>
    <w:p w:rsidR="00991F34" w:rsidRPr="00484FF5" w:rsidRDefault="00991F34" w:rsidP="00484FF5">
      <w:pPr>
        <w:pStyle w:val="af6"/>
        <w:numPr>
          <w:ilvl w:val="0"/>
          <w:numId w:val="24"/>
        </w:numPr>
        <w:shd w:val="clear" w:color="auto" w:fill="FFFFFF" w:themeFill="background1"/>
        <w:tabs>
          <w:tab w:val="left" w:pos="0"/>
          <w:tab w:val="left" w:pos="1134"/>
        </w:tabs>
        <w:spacing w:after="0"/>
        <w:ind w:left="0" w:firstLine="709"/>
        <w:jc w:val="both"/>
        <w:rPr>
          <w:color w:val="000000" w:themeColor="text1"/>
        </w:rPr>
      </w:pPr>
      <w:r w:rsidRPr="00484FF5">
        <w:rPr>
          <w:color w:val="000000" w:themeColor="text1"/>
        </w:rPr>
        <w:t>для Договоров с СМП</w:t>
      </w:r>
      <w:r w:rsidRPr="00484FF5">
        <w:rPr>
          <w:rStyle w:val="afa"/>
          <w:color w:val="000000"/>
          <w:sz w:val="28"/>
          <w:szCs w:val="28"/>
        </w:rPr>
        <w:footnoteReference w:id="1"/>
      </w:r>
      <w:r w:rsidRPr="00484FF5">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7.3.</w:t>
      </w:r>
      <w:r w:rsidRPr="00484FF5">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7.4.</w:t>
      </w:r>
      <w:r w:rsidRPr="00484FF5">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отказа Подрядчика от исполнения обязательств по Договору, в том числе одностороннего отказа от Договора;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введения арбитражным судом процедуры несостоятельности (банкротства) в отношении Подрядчика;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xml:space="preserve">- установления в ходе </w:t>
      </w:r>
      <w:proofErr w:type="gramStart"/>
      <w:r w:rsidRPr="00484FF5">
        <w:rPr>
          <w:color w:val="000000" w:themeColor="text1"/>
        </w:rPr>
        <w:t>исполнения Договора фактов несоответствия Подрядчика</w:t>
      </w:r>
      <w:proofErr w:type="gramEnd"/>
      <w:r w:rsidRPr="00484FF5">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proofErr w:type="gramStart"/>
      <w:r w:rsidRPr="00484FF5">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roofErr w:type="gramEnd"/>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 xml:space="preserve">- не предоставления Подрядчиком в срок не </w:t>
      </w:r>
      <w:proofErr w:type="gramStart"/>
      <w:r w:rsidRPr="00484FF5">
        <w:rPr>
          <w:color w:val="000000" w:themeColor="text1"/>
        </w:rPr>
        <w:t>позднее</w:t>
      </w:r>
      <w:proofErr w:type="gramEnd"/>
      <w:r w:rsidRPr="00484FF5">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 xml:space="preserve">7.5. </w:t>
      </w:r>
      <w:r w:rsidRPr="00484FF5">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7.6.</w:t>
      </w:r>
      <w:r w:rsidRPr="00484FF5">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7.7.</w:t>
      </w:r>
      <w:r w:rsidRPr="00484FF5">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Pr="00484FF5" w:rsidRDefault="00991F34" w:rsidP="00484FF5">
      <w:pPr>
        <w:pStyle w:val="af6"/>
        <w:shd w:val="clear" w:color="auto" w:fill="FFFFFF" w:themeFill="background1"/>
        <w:tabs>
          <w:tab w:val="left" w:pos="0"/>
        </w:tabs>
        <w:spacing w:after="0"/>
        <w:ind w:left="0" w:firstLine="709"/>
        <w:jc w:val="both"/>
        <w:rPr>
          <w:color w:val="000000" w:themeColor="text1"/>
        </w:rPr>
      </w:pPr>
      <w:r w:rsidRPr="00484FF5">
        <w:rPr>
          <w:b/>
          <w:color w:val="000000" w:themeColor="text1"/>
        </w:rPr>
        <w:t>7.8.</w:t>
      </w:r>
      <w:r w:rsidRPr="00484FF5">
        <w:rPr>
          <w:color w:val="000000" w:themeColor="text1"/>
        </w:rPr>
        <w:t xml:space="preserve"> Банковская гарантия не должна содержать условий или требований, противоречащих </w:t>
      </w:r>
      <w:proofErr w:type="gramStart"/>
      <w:r w:rsidRPr="00484FF5">
        <w:rPr>
          <w:color w:val="000000" w:themeColor="text1"/>
        </w:rPr>
        <w:t>изложенному</w:t>
      </w:r>
      <w:proofErr w:type="gramEnd"/>
      <w:r w:rsidRPr="00484FF5">
        <w:rPr>
          <w:color w:val="000000" w:themeColor="text1"/>
        </w:rPr>
        <w:t xml:space="preserve"> или делающих изложенное неисполнимым.</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proofErr w:type="gramStart"/>
      <w:r w:rsidRPr="00484FF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 xml:space="preserve">В случаях: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84FF5" w:rsidRDefault="00991F34" w:rsidP="00484FF5">
      <w:pPr>
        <w:widowControl w:val="0"/>
        <w:shd w:val="clear" w:color="auto" w:fill="FFFFFF" w:themeFill="background1"/>
        <w:tabs>
          <w:tab w:val="left" w:pos="1276"/>
        </w:tabs>
        <w:ind w:firstLine="709"/>
        <w:jc w:val="both"/>
        <w:rPr>
          <w:bCs/>
        </w:rPr>
      </w:pPr>
      <w:r w:rsidRPr="00484FF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484FF5" w:rsidRDefault="00991F34" w:rsidP="00484FF5">
      <w:pPr>
        <w:widowControl w:val="0"/>
        <w:numPr>
          <w:ilvl w:val="1"/>
          <w:numId w:val="25"/>
        </w:numPr>
        <w:shd w:val="clear" w:color="auto" w:fill="FFFFFF" w:themeFill="background1"/>
        <w:tabs>
          <w:tab w:val="left" w:pos="1276"/>
        </w:tabs>
        <w:ind w:left="0" w:firstLine="709"/>
        <w:jc w:val="both"/>
        <w:rPr>
          <w:bCs/>
        </w:rPr>
      </w:pPr>
      <w:r w:rsidRPr="00484FF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484FF5">
      <w:pPr>
        <w:widowControl w:val="0"/>
        <w:shd w:val="clear" w:color="auto" w:fill="FFFFFF" w:themeFill="background1"/>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w:t>
      </w:r>
      <w:r w:rsidR="009F0539">
        <w:t xml:space="preserve"> работ устанавливается в течение</w:t>
      </w:r>
      <w:r w:rsidRPr="00EE6093">
        <w:t xml:space="preserve"> </w:t>
      </w:r>
      <w:r w:rsidR="009F0539">
        <w:rPr>
          <w:bCs/>
        </w:rPr>
        <w:t>60</w:t>
      </w:r>
      <w:r w:rsidRPr="00803A58">
        <w:rPr>
          <w:bCs/>
        </w:rPr>
        <w:t xml:space="preserve"> месяцев с 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w:t>
      </w:r>
      <w:r w:rsidR="009F0539">
        <w:rPr>
          <w:bCs/>
          <w:iCs/>
        </w:rPr>
        <w:t>иалы устанавливается в течение 60</w:t>
      </w:r>
      <w:r w:rsidRPr="00803A58">
        <w:rPr>
          <w:bCs/>
          <w:iCs/>
        </w:rPr>
        <w:t xml:space="preserve">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9F0539">
        <w:rPr>
          <w:bCs/>
        </w:rPr>
        <w:t>60</w:t>
      </w:r>
      <w:r w:rsidRPr="00787D8F">
        <w:rPr>
          <w:bCs/>
        </w:rPr>
        <w:t xml:space="preserve">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 xml:space="preserve">При наличии замечаний по предъявленным для приемки работам и актам Заказчик </w:t>
      </w:r>
      <w:r w:rsidRPr="00943793">
        <w:lastRenderedPageBreak/>
        <w:t>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xml:space="preserve">, в лице директора филиала, действующего на основании доверенности и </w:t>
      </w:r>
      <w:r w:rsidRPr="00943793">
        <w:lastRenderedPageBreak/>
        <w:t>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 xml:space="preserve">Подрядчик вправе в одностороннем порядке расторгнуть Договор в случае </w:t>
      </w:r>
      <w:r w:rsidRPr="00710B48">
        <w:lastRenderedPageBreak/>
        <w:t>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41890" w:rsidRPr="00710B48" w:rsidRDefault="00341890" w:rsidP="00341890">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41890" w:rsidRPr="00710B48" w:rsidRDefault="00341890" w:rsidP="00341890">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4</w:t>
      </w:r>
      <w:r w:rsidRPr="00710B48">
        <w:t xml:space="preserve"> «Гарантийное письмо» (форма).</w:t>
      </w:r>
    </w:p>
    <w:p w:rsidR="00341890" w:rsidRPr="00710B48" w:rsidRDefault="00341890" w:rsidP="00341890">
      <w:pPr>
        <w:shd w:val="clear" w:color="auto" w:fill="FFFFFF"/>
        <w:tabs>
          <w:tab w:val="left" w:pos="993"/>
          <w:tab w:val="left" w:pos="1276"/>
        </w:tabs>
        <w:ind w:firstLine="720"/>
      </w:pPr>
      <w:r w:rsidRPr="00710B48">
        <w:t>Приложение №</w:t>
      </w:r>
      <w:r>
        <w:t xml:space="preserve"> </w:t>
      </w:r>
      <w:r w:rsidRPr="00136DAD">
        <w:t>5</w:t>
      </w:r>
      <w:r w:rsidRPr="00710B48">
        <w:t xml:space="preserve"> «Информация о контрагенте» (форма).</w:t>
      </w:r>
    </w:p>
    <w:p w:rsidR="00341890" w:rsidRDefault="00341890" w:rsidP="00341890">
      <w:pPr>
        <w:shd w:val="clear" w:color="auto" w:fill="FFFFFF"/>
        <w:tabs>
          <w:tab w:val="left" w:pos="993"/>
          <w:tab w:val="left" w:pos="1276"/>
        </w:tabs>
        <w:ind w:left="709"/>
      </w:pPr>
      <w:r w:rsidRPr="00710B48">
        <w:t>Приложение №</w:t>
      </w:r>
      <w:r>
        <w:t xml:space="preserve"> </w:t>
      </w:r>
      <w:r w:rsidRPr="00136DAD">
        <w:t>6</w:t>
      </w:r>
      <w:r w:rsidRPr="00710B48">
        <w:t xml:space="preserve"> «Антикоррупционная оговорка».</w:t>
      </w:r>
    </w:p>
    <w:p w:rsidR="00341890" w:rsidRDefault="00341890" w:rsidP="00341890">
      <w:pPr>
        <w:widowControl w:val="0"/>
        <w:shd w:val="clear" w:color="auto" w:fill="FFFFFF"/>
        <w:ind w:left="709"/>
      </w:pPr>
      <w:r>
        <w:t xml:space="preserve">Приложение № </w:t>
      </w:r>
      <w:r w:rsidRPr="00136DAD">
        <w:t>7</w:t>
      </w:r>
      <w:r>
        <w:t xml:space="preserve"> </w:t>
      </w:r>
      <w:r w:rsidRPr="004B5B3D">
        <w:t>«</w:t>
      </w:r>
      <w:r w:rsidRPr="00C0352E">
        <w:t>Критерии отбора Банков-Гарантов</w:t>
      </w:r>
      <w:r w:rsidRPr="004B5B3D">
        <w:t>».</w:t>
      </w:r>
    </w:p>
    <w:p w:rsidR="00341890" w:rsidRPr="00136DAD" w:rsidRDefault="00341890" w:rsidP="00341890">
      <w:pPr>
        <w:shd w:val="clear" w:color="auto" w:fill="FFFFFF"/>
        <w:tabs>
          <w:tab w:val="left" w:pos="993"/>
          <w:tab w:val="left" w:pos="1276"/>
        </w:tabs>
        <w:ind w:left="709"/>
      </w:pPr>
      <w:r>
        <w:t>Приложение №</w:t>
      </w:r>
      <w:r w:rsidRPr="00136DAD">
        <w:t xml:space="preserve"> 8</w:t>
      </w:r>
      <w:r w:rsidRPr="00943793">
        <w:t xml:space="preserve"> «Акт сдачи-приемки работ» (ПИР).</w:t>
      </w:r>
    </w:p>
    <w:p w:rsidR="00341890" w:rsidRPr="00136DAD" w:rsidRDefault="00341890" w:rsidP="00341890">
      <w:pPr>
        <w:shd w:val="clear" w:color="auto" w:fill="FFFFFF"/>
        <w:tabs>
          <w:tab w:val="left" w:pos="993"/>
          <w:tab w:val="left" w:pos="1276"/>
        </w:tabs>
        <w:ind w:left="709"/>
        <w:rPr>
          <w:bCs/>
        </w:rPr>
      </w:pPr>
      <w:r w:rsidRPr="00136DAD">
        <w:t xml:space="preserve">Приложение № 9 </w:t>
      </w:r>
      <w:r>
        <w:t>«</w:t>
      </w:r>
      <w:r w:rsidRPr="00136DAD">
        <w:rPr>
          <w:bCs/>
        </w:rPr>
        <w:t>Требования к страховой компании и существенные минимальные условия договора страхования</w:t>
      </w:r>
      <w:r>
        <w:rPr>
          <w:bCs/>
        </w:rPr>
        <w:t>»</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lastRenderedPageBreak/>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1" w:name="_Toc500935255"/>
      <w:bookmarkStart w:id="2" w:name="_Toc501966378"/>
      <w:r w:rsidRPr="003A5838">
        <w:rPr>
          <w:b/>
          <w:bCs/>
          <w:kern w:val="32"/>
          <w:sz w:val="28"/>
          <w:szCs w:val="28"/>
          <w:highlight w:val="lightGray"/>
        </w:rPr>
        <w:t>Критерии отбора Банков-Гарантов</w:t>
      </w:r>
      <w:bookmarkEnd w:id="1"/>
      <w:bookmarkEnd w:id="2"/>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lastRenderedPageBreak/>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w:t>
      </w:r>
      <w:r w:rsidRPr="00FC79BB">
        <w:lastRenderedPageBreak/>
        <w:t xml:space="preserve">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CB6C11E"/>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12B4"/>
    <w:multiLevelType w:val="multilevel"/>
    <w:tmpl w:val="62DAE418"/>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6"/>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7"/>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5"/>
  </w:num>
  <w:num w:numId="27">
    <w:abstractNumId w:val="4"/>
  </w:num>
  <w:num w:numId="28">
    <w:abstractNumId w:val="14"/>
  </w:num>
  <w:num w:numId="29">
    <w:abstractNumId w:val="1"/>
  </w:num>
  <w:num w:numId="3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41890"/>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47816"/>
    <w:rsid w:val="00452FF8"/>
    <w:rsid w:val="004629C4"/>
    <w:rsid w:val="00467374"/>
    <w:rsid w:val="00470B7A"/>
    <w:rsid w:val="00470DDD"/>
    <w:rsid w:val="004721E8"/>
    <w:rsid w:val="004732DE"/>
    <w:rsid w:val="004737A3"/>
    <w:rsid w:val="00476077"/>
    <w:rsid w:val="00484FF5"/>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0655"/>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09C6"/>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37E"/>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E7589"/>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0539"/>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260"/>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6DB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50C1"/>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6AFD9-65F9-441A-9D34-C9B1BC9A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34</Pages>
  <Words>11547</Words>
  <Characters>84569</Characters>
  <Application>Microsoft Office Word</Application>
  <DocSecurity>0</DocSecurity>
  <Lines>704</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95925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19</cp:revision>
  <cp:lastPrinted>2015-02-17T06:57:00Z</cp:lastPrinted>
  <dcterms:created xsi:type="dcterms:W3CDTF">2018-02-02T00:49:00Z</dcterms:created>
  <dcterms:modified xsi:type="dcterms:W3CDTF">2018-07-02T03:38:00Z</dcterms:modified>
</cp:coreProperties>
</file>