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Председатель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Pr="00D35386">
        <w:rPr>
          <w:rFonts w:ascii="Times New Roman" w:hAnsi="Times New Roman" w:cs="Times New Roman"/>
          <w:b/>
          <w:bCs/>
          <w:i/>
          <w:sz w:val="26"/>
          <w:szCs w:val="26"/>
        </w:rPr>
        <w:t>В.А. Юхимук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5"/>
              <w:gridCol w:w="4557"/>
            </w:tblGrid>
            <w:tr w:rsidR="00A42941" w:rsidRPr="00A42941" w:rsidTr="00BB6380">
              <w:tc>
                <w:tcPr>
                  <w:tcW w:w="4650" w:type="dxa"/>
                  <w:shd w:val="clear" w:color="auto" w:fill="auto"/>
                </w:tcPr>
                <w:p w:rsidR="00A42941" w:rsidRPr="00A42941" w:rsidRDefault="00A42941" w:rsidP="006D44EE">
                  <w:pPr>
                    <w:rPr>
                      <w:rFonts w:ascii="Times New Roman" w:hAnsi="Times New Roman" w:cs="Times New Roman"/>
                      <w:b/>
                      <w:bCs/>
                      <w:sz w:val="26"/>
                    </w:rPr>
                  </w:pPr>
                  <w:r w:rsidRPr="00A42941">
                    <w:rPr>
                      <w:rFonts w:ascii="Times New Roman" w:hAnsi="Times New Roman" w:cs="Times New Roman"/>
                      <w:b/>
                      <w:bCs/>
                      <w:sz w:val="26"/>
                    </w:rPr>
                    <w:t xml:space="preserve">№ </w:t>
                  </w:r>
                  <w:r w:rsidR="00F93D4F" w:rsidRPr="00F93D4F">
                    <w:rPr>
                      <w:rFonts w:ascii="Times New Roman" w:hAnsi="Times New Roman" w:cs="Times New Roman"/>
                      <w:b/>
                      <w:bCs/>
                      <w:sz w:val="26"/>
                    </w:rPr>
                    <w:t>565/УКС</w:t>
                  </w:r>
                </w:p>
              </w:tc>
              <w:tc>
                <w:tcPr>
                  <w:tcW w:w="4651" w:type="dxa"/>
                  <w:shd w:val="clear" w:color="auto" w:fill="auto"/>
                </w:tcPr>
                <w:p w:rsidR="00A42941" w:rsidRPr="00A42941" w:rsidRDefault="00F93D4F" w:rsidP="006D44EE">
                  <w:pPr>
                    <w:jc w:val="right"/>
                    <w:rPr>
                      <w:rFonts w:ascii="Times New Roman" w:hAnsi="Times New Roman" w:cs="Times New Roman"/>
                      <w:b/>
                      <w:bCs/>
                      <w:sz w:val="26"/>
                    </w:rPr>
                  </w:pPr>
                  <w:r>
                    <w:rPr>
                      <w:rFonts w:ascii="Times New Roman" w:hAnsi="Times New Roman" w:cs="Times New Roman"/>
                      <w:b/>
                      <w:bCs/>
                      <w:sz w:val="26"/>
                    </w:rPr>
                    <w:t>20</w:t>
                  </w:r>
                  <w:r w:rsidR="00A42941" w:rsidRPr="00A42941">
                    <w:rPr>
                      <w:rFonts w:ascii="Times New Roman" w:hAnsi="Times New Roman" w:cs="Times New Roman"/>
                      <w:b/>
                      <w:bCs/>
                      <w:sz w:val="26"/>
                    </w:rPr>
                    <w:t xml:space="preserve"> июля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6D44EE" w:rsidRPr="006D44EE">
        <w:rPr>
          <w:b/>
          <w:i/>
          <w:sz w:val="2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(«Объекты линейной части нефтепровода» ООО «</w:t>
      </w:r>
      <w:proofErr w:type="spellStart"/>
      <w:r w:rsidR="006D44EE" w:rsidRPr="006D44EE">
        <w:rPr>
          <w:b/>
          <w:i/>
          <w:sz w:val="24"/>
        </w:rPr>
        <w:t>Транснефть</w:t>
      </w:r>
      <w:proofErr w:type="spellEnd"/>
      <w:r w:rsidR="006D44EE" w:rsidRPr="006D44EE">
        <w:rPr>
          <w:b/>
          <w:i/>
          <w:sz w:val="24"/>
        </w:rPr>
        <w:t>-Дальний Восток», «Доплеровский метеорологический радиолокатор» Комсомольский р-н.)</w:t>
      </w:r>
      <w:r w:rsidRPr="00591114">
        <w:rPr>
          <w:b/>
          <w:i/>
          <w:sz w:val="24"/>
        </w:rPr>
        <w:t>»</w:t>
      </w:r>
      <w:r w:rsidRPr="00591114">
        <w:rPr>
          <w:sz w:val="24"/>
        </w:rPr>
        <w:t xml:space="preserve"> </w:t>
      </w:r>
      <w:r w:rsidR="00702A87" w:rsidRPr="00591114">
        <w:rPr>
          <w:sz w:val="24"/>
        </w:rPr>
        <w:t>(Лот №</w:t>
      </w:r>
      <w:r w:rsidRPr="00591114">
        <w:rPr>
          <w:sz w:val="24"/>
        </w:rPr>
        <w:t xml:space="preserve"> 211</w:t>
      </w:r>
      <w:r w:rsidR="006D44EE">
        <w:rPr>
          <w:sz w:val="24"/>
        </w:rPr>
        <w:t>2</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bookmarkStart w:id="0" w:name="_GoBack"/>
      <w:r w:rsidR="006D44EE" w:rsidRPr="006D44EE">
        <w:rPr>
          <w:b/>
          <w:i/>
          <w:sz w:val="24"/>
        </w:rPr>
        <w:t>3 834 031.00</w:t>
      </w:r>
      <w:bookmarkEnd w:id="0"/>
      <w:r w:rsidR="0077329C" w:rsidRPr="00591114">
        <w:rPr>
          <w:b/>
          <w:i/>
          <w:sz w:val="24"/>
        </w:rPr>
        <w:t xml:space="preserve"> руб. без учета НДС </w:t>
      </w:r>
      <w:r w:rsidR="0077329C" w:rsidRPr="00591114">
        <w:rPr>
          <w:i/>
          <w:sz w:val="24"/>
        </w:rPr>
        <w:t>(</w:t>
      </w:r>
      <w:r w:rsidR="006D44EE" w:rsidRPr="006D44EE">
        <w:rPr>
          <w:i/>
          <w:sz w:val="24"/>
        </w:rPr>
        <w:t>4 524 156.58</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6D44EE">
        <w:rPr>
          <w:b/>
          <w:i/>
          <w:sz w:val="24"/>
        </w:rPr>
        <w:t>20</w:t>
      </w:r>
      <w:r w:rsidR="000663EB" w:rsidRPr="00591114">
        <w:rPr>
          <w:b/>
          <w:i/>
          <w:sz w:val="24"/>
        </w:rPr>
        <w:t>.07</w:t>
      </w:r>
      <w:r w:rsidR="00ED3A5A" w:rsidRPr="00591114">
        <w:rPr>
          <w:b/>
          <w:i/>
          <w:sz w:val="24"/>
        </w:rPr>
        <w:t xml:space="preserve">.2018 по </w:t>
      </w:r>
      <w:r w:rsidR="006D44EE">
        <w:rPr>
          <w:b/>
          <w:i/>
          <w:sz w:val="24"/>
        </w:rPr>
        <w:t>01.08</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6D44EE">
        <w:rPr>
          <w:sz w:val="24"/>
        </w:rPr>
        <w:t>20.07</w:t>
      </w:r>
      <w:r w:rsidRPr="00591114">
        <w:rPr>
          <w:sz w:val="24"/>
        </w:rPr>
        <w:t xml:space="preserve">.2018 года.  Дата окончания приема заявок на участие в закупке: </w:t>
      </w:r>
      <w:r w:rsidR="00FB5BCB">
        <w:rPr>
          <w:b/>
          <w:i/>
          <w:sz w:val="24"/>
        </w:rPr>
        <w:t>1</w:t>
      </w:r>
      <w:r w:rsidR="006D44EE">
        <w:rPr>
          <w:b/>
          <w:i/>
          <w:sz w:val="24"/>
        </w:rPr>
        <w:t>5</w:t>
      </w:r>
      <w:r w:rsidRPr="00591114">
        <w:rPr>
          <w:b/>
          <w:i/>
          <w:sz w:val="24"/>
        </w:rPr>
        <w:t>:00 часов</w:t>
      </w:r>
      <w:r w:rsidRPr="00591114">
        <w:rPr>
          <w:sz w:val="24"/>
        </w:rPr>
        <w:t xml:space="preserve"> местного </w:t>
      </w:r>
      <w:r w:rsidRPr="00591114">
        <w:rPr>
          <w:sz w:val="24"/>
        </w:rPr>
        <w:lastRenderedPageBreak/>
        <w:t>(Благовещенского) времени (</w:t>
      </w:r>
      <w:r w:rsidR="00FB5BCB">
        <w:rPr>
          <w:sz w:val="24"/>
        </w:rPr>
        <w:t>0</w:t>
      </w:r>
      <w:r w:rsidR="006D44EE">
        <w:rPr>
          <w:sz w:val="24"/>
        </w:rPr>
        <w:t>9</w:t>
      </w:r>
      <w:r w:rsidRPr="00591114">
        <w:rPr>
          <w:sz w:val="24"/>
        </w:rPr>
        <w:t xml:space="preserve">:00 часов Московского времени) </w:t>
      </w:r>
      <w:r w:rsidR="006D44EE">
        <w:rPr>
          <w:b/>
          <w:i/>
          <w:sz w:val="24"/>
        </w:rPr>
        <w:t>01.08</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24.08.2018.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BE0C85"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85" w:rsidRDefault="00BE0C85" w:rsidP="00E02E0A">
      <w:pPr>
        <w:spacing w:after="0" w:line="240" w:lineRule="auto"/>
      </w:pPr>
      <w:r>
        <w:separator/>
      </w:r>
    </w:p>
  </w:endnote>
  <w:endnote w:type="continuationSeparator" w:id="0">
    <w:p w:rsidR="00BE0C85" w:rsidRDefault="00BE0C85"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F93D4F">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85" w:rsidRDefault="00BE0C85" w:rsidP="00E02E0A">
      <w:pPr>
        <w:spacing w:after="0" w:line="240" w:lineRule="auto"/>
      </w:pPr>
      <w:r>
        <w:separator/>
      </w:r>
    </w:p>
  </w:footnote>
  <w:footnote w:type="continuationSeparator" w:id="0">
    <w:p w:rsidR="00BE0C85" w:rsidRDefault="00BE0C85"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0C85"/>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3D4F"/>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C817-B80D-4001-BE4A-7F81CA55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21</cp:revision>
  <cp:lastPrinted>2018-07-17T07:45:00Z</cp:lastPrinted>
  <dcterms:created xsi:type="dcterms:W3CDTF">2018-03-30T07:33:00Z</dcterms:created>
  <dcterms:modified xsi:type="dcterms:W3CDTF">2018-07-20T06:39:00Z</dcterms:modified>
</cp:coreProperties>
</file>