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97118">
        <w:rPr>
          <w:rFonts w:ascii="Times New Roman" w:hAnsi="Times New Roman"/>
          <w:sz w:val="28"/>
          <w:szCs w:val="28"/>
        </w:rPr>
        <w:t>520</w:t>
      </w:r>
      <w:r w:rsidR="00CA4DCE">
        <w:rPr>
          <w:rFonts w:ascii="Times New Roman" w:hAnsi="Times New Roman"/>
          <w:sz w:val="28"/>
          <w:szCs w:val="28"/>
        </w:rPr>
        <w:t>/М</w:t>
      </w:r>
      <w:r w:rsidR="00CD7847">
        <w:rPr>
          <w:rFonts w:ascii="Times New Roman" w:hAnsi="Times New Roman"/>
          <w:sz w:val="28"/>
          <w:szCs w:val="28"/>
        </w:rPr>
        <w:t>КС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Pr="00597118" w:rsidRDefault="00352406" w:rsidP="00597118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  <w:r w:rsidRPr="00597118">
        <w:rPr>
          <w:b/>
          <w:sz w:val="26"/>
          <w:szCs w:val="26"/>
        </w:rPr>
        <w:t xml:space="preserve">заседания закупочной комиссии </w:t>
      </w:r>
      <w:r w:rsidR="004A00CF" w:rsidRPr="00597118">
        <w:rPr>
          <w:b/>
          <w:sz w:val="26"/>
          <w:szCs w:val="26"/>
        </w:rPr>
        <w:t xml:space="preserve">по выбору победителя </w:t>
      </w:r>
      <w:r w:rsidR="00CA4DCE" w:rsidRPr="00597118">
        <w:rPr>
          <w:b/>
          <w:sz w:val="26"/>
          <w:szCs w:val="26"/>
        </w:rPr>
        <w:t xml:space="preserve">по проведению открытого аукциона на право заключения договора поставки: </w:t>
      </w:r>
      <w:r w:rsidR="00597118" w:rsidRPr="00597118">
        <w:rPr>
          <w:b/>
          <w:i/>
          <w:sz w:val="26"/>
          <w:szCs w:val="26"/>
        </w:rPr>
        <w:t xml:space="preserve">«Комплектные распределительные устройства 6 (10) 35 кВ для электроснабжения ТОР «Николаевск» (ПС 110/35/6 кВ Чныррах, ПС 35/10 кВ Оремиф)» </w:t>
      </w:r>
      <w:r w:rsidR="00597118" w:rsidRPr="00597118">
        <w:rPr>
          <w:b/>
          <w:bCs/>
          <w:i/>
          <w:sz w:val="26"/>
          <w:szCs w:val="26"/>
        </w:rPr>
        <w:t xml:space="preserve">(ГКПЗ 2018, </w:t>
      </w:r>
      <w:r w:rsidR="00597118" w:rsidRPr="00597118">
        <w:rPr>
          <w:b/>
          <w:i/>
          <w:sz w:val="26"/>
          <w:szCs w:val="26"/>
        </w:rPr>
        <w:t>раздел 2.1.2, № 3033</w:t>
      </w:r>
      <w:r w:rsidR="00597118" w:rsidRPr="00597118">
        <w:rPr>
          <w:b/>
          <w:sz w:val="26"/>
          <w:szCs w:val="26"/>
        </w:rPr>
        <w:t>)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CA4DCE" w:rsidRPr="00C6739E" w:rsidTr="008D3A27">
        <w:tc>
          <w:tcPr>
            <w:tcW w:w="4930" w:type="dxa"/>
            <w:gridSpan w:val="2"/>
          </w:tcPr>
          <w:p w:rsidR="00CA4DCE" w:rsidRPr="00C6739E" w:rsidRDefault="00CA4DCE" w:rsidP="008D3A27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CA4DCE" w:rsidRPr="00C6739E" w:rsidRDefault="00CA4DCE" w:rsidP="0059711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97118">
              <w:rPr>
                <w:b/>
                <w:bCs/>
                <w:caps/>
                <w:sz w:val="24"/>
              </w:rPr>
              <w:t>25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</w:t>
            </w:r>
            <w:r w:rsidRPr="002163EF">
              <w:rPr>
                <w:b/>
                <w:sz w:val="24"/>
              </w:rPr>
              <w:t xml:space="preserve">сентября  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CA4DCE" w:rsidRPr="00C6739E" w:rsidTr="008D3A27">
        <w:trPr>
          <w:gridAfter w:val="1"/>
          <w:wAfter w:w="90" w:type="dxa"/>
        </w:trPr>
        <w:tc>
          <w:tcPr>
            <w:tcW w:w="4889" w:type="dxa"/>
          </w:tcPr>
          <w:p w:rsidR="00CA4DCE" w:rsidRPr="00ED6C1A" w:rsidRDefault="00CA4DCE" w:rsidP="00597118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>
              <w:rPr>
                <w:b/>
                <w:sz w:val="24"/>
              </w:rPr>
              <w:t>318</w:t>
            </w:r>
            <w:r w:rsidR="00597118">
              <w:rPr>
                <w:b/>
                <w:sz w:val="24"/>
              </w:rPr>
              <w:t>06580884</w:t>
            </w:r>
          </w:p>
        </w:tc>
        <w:tc>
          <w:tcPr>
            <w:tcW w:w="4876" w:type="dxa"/>
            <w:gridSpan w:val="2"/>
          </w:tcPr>
          <w:p w:rsidR="00CA4DCE" w:rsidRPr="00C6739E" w:rsidRDefault="00CA4DCE" w:rsidP="008D3A2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</w:t>
      </w:r>
      <w:r w:rsidR="00CA4DCE">
        <w:rPr>
          <w:snapToGrid/>
          <w:sz w:val="26"/>
          <w:szCs w:val="26"/>
        </w:rPr>
        <w:t xml:space="preserve">аукцион на право заключения договора </w:t>
      </w:r>
      <w:r w:rsidR="00CA4DCE" w:rsidRPr="00374B28">
        <w:rPr>
          <w:b/>
          <w:i/>
          <w:sz w:val="26"/>
          <w:szCs w:val="26"/>
        </w:rPr>
        <w:t>«</w:t>
      </w:r>
      <w:r w:rsidR="00597118" w:rsidRPr="00597118">
        <w:rPr>
          <w:b/>
          <w:i/>
          <w:sz w:val="26"/>
          <w:szCs w:val="26"/>
        </w:rPr>
        <w:t>Комплектные распределительные устройства 6 (10) 35 кВ для электроснабжения ТОР «Николаевск» (ПС 110/35/6 кВ Чныррах, ПС 35/10 кВ Оремиф)</w:t>
      </w:r>
      <w:r w:rsidR="00CA4DCE" w:rsidRPr="00374B28">
        <w:rPr>
          <w:b/>
          <w:i/>
          <w:sz w:val="26"/>
          <w:szCs w:val="26"/>
        </w:rPr>
        <w:t>»</w:t>
      </w:r>
      <w:r w:rsidR="00CD7847" w:rsidRPr="00CD7847">
        <w:rPr>
          <w:snapToGrid/>
          <w:sz w:val="26"/>
          <w:szCs w:val="26"/>
        </w:rPr>
        <w:t>, закупка 30</w:t>
      </w:r>
      <w:r w:rsidR="00CA4DCE">
        <w:rPr>
          <w:snapToGrid/>
          <w:sz w:val="26"/>
          <w:szCs w:val="26"/>
        </w:rPr>
        <w:t>3</w:t>
      </w:r>
      <w:r w:rsidR="00597118">
        <w:rPr>
          <w:snapToGrid/>
          <w:sz w:val="26"/>
          <w:szCs w:val="26"/>
        </w:rPr>
        <w:t>3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 w:rsidR="00CA4DCE">
        <w:rPr>
          <w:bCs/>
          <w:i/>
          <w:iCs/>
          <w:sz w:val="26"/>
          <w:szCs w:val="26"/>
        </w:rPr>
        <w:t>аукциона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CA4DCE">
        <w:rPr>
          <w:b/>
          <w:bCs/>
          <w:i/>
          <w:iCs/>
          <w:snapToGrid/>
          <w:sz w:val="26"/>
          <w:szCs w:val="26"/>
          <w:u w:val="single"/>
        </w:rPr>
        <w:t>1</w:t>
      </w: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 </w:t>
      </w:r>
      <w:r w:rsidRPr="00CD7847">
        <w:rPr>
          <w:b/>
          <w:bCs/>
          <w:i/>
          <w:iCs/>
          <w:snapToGrid/>
          <w:sz w:val="26"/>
          <w:szCs w:val="26"/>
        </w:rPr>
        <w:t xml:space="preserve">«О выборе победителя </w:t>
      </w:r>
      <w:r w:rsidR="00374B28">
        <w:rPr>
          <w:b/>
          <w:bCs/>
          <w:i/>
          <w:iCs/>
          <w:snapToGrid/>
          <w:sz w:val="26"/>
          <w:szCs w:val="26"/>
        </w:rPr>
        <w:t>аукциона</w:t>
      </w:r>
      <w:r w:rsidRPr="00CD7847">
        <w:rPr>
          <w:b/>
          <w:bCs/>
          <w:i/>
          <w:iCs/>
          <w:snapToGrid/>
          <w:sz w:val="26"/>
          <w:szCs w:val="26"/>
        </w:rPr>
        <w:t>»</w:t>
      </w:r>
    </w:p>
    <w:p w:rsidR="00CA4DCE" w:rsidRDefault="00CA4DCE" w:rsidP="00CA4DCE">
      <w:pPr>
        <w:pStyle w:val="a9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Утвердить ранжировку участников открытого аукциона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93"/>
        <w:gridCol w:w="2976"/>
        <w:gridCol w:w="3119"/>
      </w:tblGrid>
      <w:tr w:rsidR="00597118" w:rsidRPr="00597118" w:rsidTr="00A858EE">
        <w:trPr>
          <w:trHeight w:val="557"/>
          <w:tblHeader/>
        </w:trPr>
        <w:tc>
          <w:tcPr>
            <w:tcW w:w="959" w:type="dxa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597118">
              <w:rPr>
                <w:b/>
                <w:i/>
                <w:color w:val="000000"/>
                <w:spacing w:val="-1"/>
                <w:sz w:val="20"/>
              </w:rPr>
              <w:t>Место в ранжировке</w:t>
            </w:r>
          </w:p>
        </w:tc>
        <w:tc>
          <w:tcPr>
            <w:tcW w:w="2693" w:type="dxa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97118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976" w:type="dxa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</w:rPr>
            </w:pPr>
            <w:r w:rsidRPr="00597118">
              <w:rPr>
                <w:b/>
                <w:i/>
                <w:sz w:val="20"/>
              </w:rPr>
              <w:t>Первоначальная ценовая ставка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</w:rPr>
            </w:pPr>
            <w:r w:rsidRPr="00597118">
              <w:rPr>
                <w:b/>
                <w:i/>
                <w:sz w:val="20"/>
              </w:rPr>
              <w:t>Окончательная ценовая ставка по результатам аукциона</w:t>
            </w:r>
          </w:p>
        </w:tc>
      </w:tr>
      <w:tr w:rsidR="00597118" w:rsidRPr="00597118" w:rsidTr="00A858EE">
        <w:trPr>
          <w:trHeight w:val="557"/>
          <w:tblHeader/>
        </w:trPr>
        <w:tc>
          <w:tcPr>
            <w:tcW w:w="959" w:type="dxa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97118">
              <w:rPr>
                <w:color w:val="000000"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2693" w:type="dxa"/>
            <w:vAlign w:val="center"/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ООО «НЕВАЭНЕРГОПРОМ» (ИНН/КПП 7802536127/780201001 ОГРН 1157847279259)</w:t>
            </w:r>
          </w:p>
        </w:tc>
        <w:tc>
          <w:tcPr>
            <w:tcW w:w="2976" w:type="dxa"/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166 125 200 руб. без НДС</w:t>
            </w:r>
          </w:p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196 027 736,00 руб. с НДС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157 818 640,00 руб. без НДС</w:t>
            </w:r>
          </w:p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186 225 995,20 руб. с НДС</w:t>
            </w:r>
          </w:p>
        </w:tc>
      </w:tr>
      <w:tr w:rsidR="00597118" w:rsidRPr="00597118" w:rsidTr="00A858EE">
        <w:trPr>
          <w:trHeight w:val="557"/>
          <w:tblHeader/>
        </w:trPr>
        <w:tc>
          <w:tcPr>
            <w:tcW w:w="959" w:type="dxa"/>
            <w:vAlign w:val="center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97118">
              <w:rPr>
                <w:color w:val="000000"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2693" w:type="dxa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ООО  «ВОСТОКЭНЕРГО» (ИНН/КПП 2508129512/250801001 ОГРН 1172536003342)</w:t>
            </w:r>
          </w:p>
        </w:tc>
        <w:tc>
          <w:tcPr>
            <w:tcW w:w="2976" w:type="dxa"/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166 125 200 руб. без НДС</w:t>
            </w:r>
          </w:p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196 027 736,00 руб. с НДС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159 479 892,00  руб. без НДС</w:t>
            </w:r>
          </w:p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188 186 272,56 руб. с НДС</w:t>
            </w:r>
          </w:p>
        </w:tc>
      </w:tr>
      <w:tr w:rsidR="00597118" w:rsidRPr="00597118" w:rsidTr="00A858EE">
        <w:trPr>
          <w:trHeight w:val="557"/>
          <w:tblHeader/>
        </w:trPr>
        <w:tc>
          <w:tcPr>
            <w:tcW w:w="959" w:type="dxa"/>
          </w:tcPr>
          <w:p w:rsidR="00597118" w:rsidRPr="00597118" w:rsidRDefault="00597118" w:rsidP="005971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97118">
              <w:rPr>
                <w:color w:val="000000"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2693" w:type="dxa"/>
            <w:vAlign w:val="center"/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 xml:space="preserve">ООО «Инженерный центр "Энергия» (ИНН/КПП 3702062476/780401001 </w:t>
            </w:r>
            <w:r w:rsidRPr="00597118">
              <w:rPr>
                <w:sz w:val="24"/>
                <w:szCs w:val="24"/>
              </w:rPr>
              <w:br/>
              <w:t>ОГРН 1043700101257)</w:t>
            </w:r>
          </w:p>
        </w:tc>
        <w:tc>
          <w:tcPr>
            <w:tcW w:w="2976" w:type="dxa"/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166 124 900 руб. без НДС</w:t>
            </w:r>
          </w:p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196 027 382,00 руб. с НДС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166 124 900,00  руб. без НДС</w:t>
            </w:r>
          </w:p>
          <w:p w:rsidR="00597118" w:rsidRPr="00597118" w:rsidRDefault="00597118" w:rsidP="005971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7118">
              <w:rPr>
                <w:sz w:val="24"/>
                <w:szCs w:val="24"/>
              </w:rPr>
              <w:t>196 027 382,00 руб. с НДС</w:t>
            </w:r>
          </w:p>
        </w:tc>
      </w:tr>
    </w:tbl>
    <w:p w:rsidR="00597118" w:rsidRPr="00597118" w:rsidRDefault="00597118" w:rsidP="00597118">
      <w:pPr>
        <w:keepNext/>
        <w:numPr>
          <w:ilvl w:val="0"/>
          <w:numId w:val="31"/>
        </w:numPr>
        <w:tabs>
          <w:tab w:val="left" w:pos="426"/>
        </w:tabs>
        <w:spacing w:line="240" w:lineRule="auto"/>
        <w:ind w:left="0" w:firstLine="0"/>
        <w:rPr>
          <w:snapToGrid/>
          <w:color w:val="000000" w:themeColor="text1"/>
          <w:sz w:val="26"/>
          <w:szCs w:val="26"/>
        </w:rPr>
      </w:pPr>
      <w:r w:rsidRPr="00597118">
        <w:rPr>
          <w:b/>
          <w:snapToGrid/>
          <w:sz w:val="26"/>
          <w:szCs w:val="26"/>
        </w:rPr>
        <w:t>Признать</w:t>
      </w:r>
      <w:r w:rsidRPr="00597118">
        <w:rPr>
          <w:snapToGrid/>
          <w:sz w:val="26"/>
          <w:szCs w:val="26"/>
        </w:rPr>
        <w:t xml:space="preserve"> победителем закупки на право заключения Договора </w:t>
      </w:r>
      <w:r w:rsidRPr="00597118">
        <w:rPr>
          <w:bCs/>
          <w:snapToGrid/>
          <w:sz w:val="26"/>
          <w:szCs w:val="26"/>
        </w:rPr>
        <w:t xml:space="preserve">поставки </w:t>
      </w:r>
      <w:r w:rsidRPr="00597118">
        <w:rPr>
          <w:b/>
          <w:i/>
          <w:snapToGrid/>
          <w:color w:val="000000" w:themeColor="text1"/>
          <w:sz w:val="26"/>
          <w:szCs w:val="26"/>
        </w:rPr>
        <w:t>«Комплектные распределительные устройства 6 (10) 35 кВ для электроснабжения ТОР «Николаевск» (ПС 110/35/6 кВ Чныррах, ПС 35/10 кВ Оремиф)»</w:t>
      </w:r>
      <w:r w:rsidRPr="00597118">
        <w:rPr>
          <w:snapToGrid/>
          <w:color w:val="000000" w:themeColor="text1"/>
          <w:sz w:val="26"/>
          <w:szCs w:val="26"/>
        </w:rPr>
        <w:t xml:space="preserve"> участника, занявшего первое место в разжировке по степени предпочтительности для заказчика: ООО "НЕВАЭНЕРГОПРОМ" ИНН/КПП 7802536127/780201001 ОГРН 1157847279259 на условиях: </w:t>
      </w:r>
      <w:r w:rsidRPr="00597118">
        <w:rPr>
          <w:b/>
          <w:i/>
          <w:snapToGrid/>
          <w:color w:val="000000" w:themeColor="text1"/>
          <w:sz w:val="26"/>
          <w:szCs w:val="26"/>
        </w:rPr>
        <w:t>Стоимость заявки</w:t>
      </w:r>
      <w:r w:rsidRPr="00597118">
        <w:rPr>
          <w:snapToGrid/>
          <w:color w:val="000000" w:themeColor="text1"/>
          <w:sz w:val="26"/>
          <w:szCs w:val="26"/>
        </w:rPr>
        <w:t xml:space="preserve"> </w:t>
      </w:r>
      <w:r w:rsidRPr="00597118">
        <w:rPr>
          <w:snapToGrid/>
          <w:color w:val="000000" w:themeColor="text1"/>
          <w:sz w:val="26"/>
          <w:szCs w:val="26"/>
        </w:rPr>
        <w:lastRenderedPageBreak/>
        <w:t xml:space="preserve">157 818 640,00 руб. без НДС (186 225 995,20 руб. с НДС). </w:t>
      </w:r>
      <w:r w:rsidRPr="00597118">
        <w:rPr>
          <w:b/>
          <w:i/>
          <w:snapToGrid/>
          <w:color w:val="000000" w:themeColor="text1"/>
          <w:sz w:val="26"/>
          <w:szCs w:val="26"/>
        </w:rPr>
        <w:t>Срок поставки:</w:t>
      </w:r>
      <w:r w:rsidRPr="00597118">
        <w:rPr>
          <w:snapToGrid/>
          <w:color w:val="000000" w:themeColor="text1"/>
          <w:sz w:val="26"/>
          <w:szCs w:val="26"/>
        </w:rPr>
        <w:t xml:space="preserve"> 20.12.2018 г. При изменении условий документации о закупке, равнозначно корректируется расчетная дата поставки оборудования. </w:t>
      </w:r>
      <w:r w:rsidRPr="00597118">
        <w:rPr>
          <w:b/>
          <w:i/>
          <w:snapToGrid/>
          <w:color w:val="000000" w:themeColor="text1"/>
          <w:sz w:val="26"/>
          <w:szCs w:val="26"/>
        </w:rPr>
        <w:t>Условия оплаты:</w:t>
      </w:r>
      <w:r w:rsidRPr="00597118">
        <w:rPr>
          <w:snapToGrid/>
          <w:color w:val="000000" w:themeColor="text1"/>
          <w:sz w:val="26"/>
          <w:szCs w:val="26"/>
        </w:rPr>
        <w:t xml:space="preserve"> Предварительная оплата (авансирование) осуществляется в размере 30% от стоимости оборудования в течение 30 (тридцати) календарных дней с даты подписания договора при условии получения Покупателем счета, выставленного Поставщиком. Окончательный расчет в размере 70% от стоимости поставленного оборудования, производится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</w:t>
      </w:r>
      <w:r w:rsidRPr="00597118">
        <w:rPr>
          <w:b/>
          <w:i/>
          <w:snapToGrid/>
          <w:color w:val="000000" w:themeColor="text1"/>
          <w:sz w:val="26"/>
          <w:szCs w:val="26"/>
        </w:rPr>
        <w:t>Гарантийные обязательства:</w:t>
      </w:r>
      <w:r w:rsidRPr="00597118">
        <w:rPr>
          <w:snapToGrid/>
          <w:color w:val="000000" w:themeColor="text1"/>
          <w:sz w:val="26"/>
          <w:szCs w:val="26"/>
        </w:rPr>
        <w:t xml:space="preserve"> Гарантия на поставляемое оборудование 60 месяцев и распространяется на шкафы КРУ, а также на встроенное в них оборудование и конструкцию здания. Время начала исчисления гарантийного срока-с момента ввода оборудования в эксплуатацию, но не более 72 месяца с момента поставки. Гарантия на защиту от коррозии для КРУ и конструкции здания, при отсутствии механических повреждений -120 месяцев, с момента ввода оборудования в эксплуатацию, но не более 132 месяцев с момента поставки.  </w:t>
      </w:r>
    </w:p>
    <w:p w:rsidR="00597118" w:rsidRPr="00597118" w:rsidRDefault="00597118" w:rsidP="00597118">
      <w:pPr>
        <w:keepNext/>
        <w:tabs>
          <w:tab w:val="left" w:pos="426"/>
        </w:tabs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597118">
        <w:rPr>
          <w:b/>
          <w:i/>
          <w:snapToGrid/>
          <w:color w:val="000000" w:themeColor="text1"/>
          <w:sz w:val="26"/>
          <w:szCs w:val="26"/>
        </w:rPr>
        <w:t>Желательные условия к проекту договора:</w:t>
      </w:r>
    </w:p>
    <w:p w:rsidR="00597118" w:rsidRPr="00597118" w:rsidRDefault="00597118" w:rsidP="00597118">
      <w:pPr>
        <w:keepNext/>
        <w:tabs>
          <w:tab w:val="left" w:pos="426"/>
        </w:tabs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  <w:r w:rsidRPr="00597118">
        <w:rPr>
          <w:snapToGrid/>
          <w:color w:val="000000" w:themeColor="text1"/>
          <w:sz w:val="26"/>
          <w:szCs w:val="26"/>
        </w:rPr>
        <w:t>Пункты проекта договора: № п. 2.1., 3.6., 3.7., 3.11., 4.2., 4.3.2., 4.3.3., 4.5., 6.1., 6.2., 6.3., 6.5., 6.6., 6.7.  неприемлемы для Заказчика</w:t>
      </w:r>
    </w:p>
    <w:p w:rsidR="00597118" w:rsidRPr="00597118" w:rsidRDefault="00597118" w:rsidP="00597118">
      <w:pPr>
        <w:numPr>
          <w:ilvl w:val="0"/>
          <w:numId w:val="31"/>
        </w:numPr>
        <w:suppressAutoHyphens/>
        <w:spacing w:line="240" w:lineRule="auto"/>
        <w:ind w:left="0" w:firstLine="0"/>
        <w:rPr>
          <w:sz w:val="26"/>
          <w:szCs w:val="26"/>
        </w:rPr>
      </w:pPr>
      <w:r w:rsidRPr="00597118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закупки, с учетом результа</w:t>
      </w:r>
      <w:bookmarkStart w:id="2" w:name="_GoBack"/>
      <w:bookmarkEnd w:id="2"/>
      <w:r w:rsidRPr="00597118">
        <w:rPr>
          <w:sz w:val="26"/>
          <w:szCs w:val="26"/>
        </w:rPr>
        <w:t>тов преддоговорных переговоров (в случае проведения таковых), при условии наличия положительного экспертного заключения/согласования в части ценообразующих документов в соответствии с действующим Регламентом согласования ценообразующей документации.</w:t>
      </w:r>
    </w:p>
    <w:p w:rsidR="00597118" w:rsidRDefault="00597118" w:rsidP="00597118">
      <w:pPr>
        <w:pStyle w:val="a9"/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6"/>
          <w:szCs w:val="26"/>
          <w:lang w:eastAsia="en-US"/>
        </w:rPr>
      </w:pP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339" w:rsidRDefault="00F12339" w:rsidP="00355095">
      <w:pPr>
        <w:spacing w:line="240" w:lineRule="auto"/>
      </w:pPr>
      <w:r>
        <w:separator/>
      </w:r>
    </w:p>
  </w:endnote>
  <w:endnote w:type="continuationSeparator" w:id="0">
    <w:p w:rsidR="00F12339" w:rsidRDefault="00F123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71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71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339" w:rsidRDefault="00F12339" w:rsidP="00355095">
      <w:pPr>
        <w:spacing w:line="240" w:lineRule="auto"/>
      </w:pPr>
      <w:r>
        <w:separator/>
      </w:r>
    </w:p>
  </w:footnote>
  <w:footnote w:type="continuationSeparator" w:id="0">
    <w:p w:rsidR="00F12339" w:rsidRDefault="00F123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D7847">
      <w:rPr>
        <w:i/>
        <w:sz w:val="20"/>
      </w:rPr>
      <w:t>30</w:t>
    </w:r>
    <w:r w:rsidR="00375D44">
      <w:rPr>
        <w:i/>
        <w:sz w:val="20"/>
      </w:rPr>
      <w:t>3</w:t>
    </w:r>
    <w:r w:rsidR="00597118">
      <w:rPr>
        <w:i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75"/>
    <w:multiLevelType w:val="hybridMultilevel"/>
    <w:tmpl w:val="23D89CCA"/>
    <w:lvl w:ilvl="0" w:tplc="3350007E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333E"/>
    <w:multiLevelType w:val="hybridMultilevel"/>
    <w:tmpl w:val="7C9CD504"/>
    <w:lvl w:ilvl="0" w:tplc="C6BA529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38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9" w15:restartNumberingAfterBreak="0">
    <w:nsid w:val="21991653"/>
    <w:multiLevelType w:val="hybridMultilevel"/>
    <w:tmpl w:val="82C4FAB8"/>
    <w:lvl w:ilvl="0" w:tplc="2374853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559F7F98"/>
    <w:multiLevelType w:val="hybridMultilevel"/>
    <w:tmpl w:val="D62AA14E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1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0803E7"/>
    <w:multiLevelType w:val="hybridMultilevel"/>
    <w:tmpl w:val="96107B1C"/>
    <w:lvl w:ilvl="0" w:tplc="00A40F0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E5FB5"/>
    <w:multiLevelType w:val="hybridMultilevel"/>
    <w:tmpl w:val="C2D86588"/>
    <w:lvl w:ilvl="0" w:tplc="CDAA740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5"/>
  </w:num>
  <w:num w:numId="5">
    <w:abstractNumId w:val="25"/>
  </w:num>
  <w:num w:numId="6">
    <w:abstractNumId w:val="4"/>
  </w:num>
  <w:num w:numId="7">
    <w:abstractNumId w:val="30"/>
  </w:num>
  <w:num w:numId="8">
    <w:abstractNumId w:val="22"/>
  </w:num>
  <w:num w:numId="9">
    <w:abstractNumId w:val="6"/>
  </w:num>
  <w:num w:numId="10">
    <w:abstractNumId w:val="29"/>
  </w:num>
  <w:num w:numId="11">
    <w:abstractNumId w:val="13"/>
  </w:num>
  <w:num w:numId="12">
    <w:abstractNumId w:val="19"/>
  </w:num>
  <w:num w:numId="13">
    <w:abstractNumId w:val="28"/>
  </w:num>
  <w:num w:numId="14">
    <w:abstractNumId w:val="24"/>
  </w:num>
  <w:num w:numId="15">
    <w:abstractNumId w:val="14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2"/>
  </w:num>
  <w:num w:numId="31">
    <w:abstractNumId w:val="20"/>
  </w:num>
  <w:num w:numId="32">
    <w:abstractNumId w:val="0"/>
  </w:num>
  <w:num w:numId="33">
    <w:abstractNumId w:val="2"/>
  </w:num>
  <w:num w:numId="34">
    <w:abstractNumId w:val="27"/>
  </w:num>
  <w:num w:numId="35">
    <w:abstractNumId w:val="26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174F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74B28"/>
    <w:rsid w:val="00375D44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E48E8"/>
    <w:rsid w:val="003E716F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26103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118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4BB4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5DBB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091B"/>
    <w:rsid w:val="00A718D9"/>
    <w:rsid w:val="00A76D45"/>
    <w:rsid w:val="00A85214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02C0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2BED"/>
    <w:rsid w:val="00B46BA5"/>
    <w:rsid w:val="00B53914"/>
    <w:rsid w:val="00B54AEB"/>
    <w:rsid w:val="00B57DE3"/>
    <w:rsid w:val="00B6781F"/>
    <w:rsid w:val="00B72B13"/>
    <w:rsid w:val="00B828AD"/>
    <w:rsid w:val="00B855FE"/>
    <w:rsid w:val="00B85D32"/>
    <w:rsid w:val="00B92C50"/>
    <w:rsid w:val="00B96B97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462C9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A4DCE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0064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2339"/>
    <w:rsid w:val="00F16F65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30EFC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171</cp:revision>
  <cp:lastPrinted>2018-07-31T00:16:00Z</cp:lastPrinted>
  <dcterms:created xsi:type="dcterms:W3CDTF">2014-08-07T23:18:00Z</dcterms:created>
  <dcterms:modified xsi:type="dcterms:W3CDTF">2018-10-25T23:32:00Z</dcterms:modified>
</cp:coreProperties>
</file>