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02BDA">
        <w:rPr>
          <w:rFonts w:ascii="Times New Roman" w:hAnsi="Times New Roman"/>
          <w:bCs w:val="0"/>
          <w:caps/>
          <w:sz w:val="28"/>
          <w:szCs w:val="28"/>
        </w:rPr>
        <w:t>4</w:t>
      </w:r>
      <w:r w:rsidR="00D13576">
        <w:rPr>
          <w:rFonts w:ascii="Times New Roman" w:hAnsi="Times New Roman"/>
          <w:bCs w:val="0"/>
          <w:caps/>
          <w:sz w:val="28"/>
          <w:szCs w:val="28"/>
        </w:rPr>
        <w:t>5</w:t>
      </w:r>
      <w:r w:rsidR="00DB4AA2">
        <w:rPr>
          <w:rFonts w:ascii="Times New Roman" w:hAnsi="Times New Roman"/>
          <w:bCs w:val="0"/>
          <w:caps/>
          <w:sz w:val="28"/>
          <w:szCs w:val="28"/>
        </w:rPr>
        <w:t>8</w:t>
      </w:r>
      <w:r w:rsidR="008D567D">
        <w:rPr>
          <w:rFonts w:ascii="Times New Roman" w:hAnsi="Times New Roman"/>
          <w:bCs w:val="0"/>
          <w:caps/>
          <w:sz w:val="28"/>
          <w:szCs w:val="28"/>
        </w:rPr>
        <w:t>/</w:t>
      </w:r>
      <w:r w:rsidR="00EF0C12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A429E3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D13576" w:rsidRPr="00D13576">
        <w:rPr>
          <w:b/>
          <w:bCs/>
          <w:iCs/>
          <w:color w:val="000000" w:themeColor="text1"/>
          <w:szCs w:val="28"/>
        </w:rPr>
        <w:t xml:space="preserve">"Мероприятия по строительству и реконструкции электрических сетей до 10 </w:t>
      </w:r>
      <w:proofErr w:type="spellStart"/>
      <w:r w:rsidR="00D13576" w:rsidRPr="00D13576">
        <w:rPr>
          <w:b/>
          <w:bCs/>
          <w:iCs/>
          <w:color w:val="000000" w:themeColor="text1"/>
          <w:szCs w:val="28"/>
        </w:rPr>
        <w:t>кВ</w:t>
      </w:r>
      <w:proofErr w:type="spellEnd"/>
      <w:r w:rsidR="00D13576" w:rsidRPr="00D13576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ПЭС (урочище "Мирное", урочище "Тавричанское", п. Тимофеевка, п. Мирный, урочище "Морское") "</w:t>
      </w:r>
      <w:r w:rsidR="00702BDA" w:rsidRPr="00702BDA">
        <w:rPr>
          <w:b/>
          <w:bCs/>
          <w:iCs/>
          <w:color w:val="000000" w:themeColor="text1"/>
          <w:szCs w:val="28"/>
        </w:rPr>
        <w:t>, закупка 20</w:t>
      </w:r>
      <w:r w:rsidR="00D13576">
        <w:rPr>
          <w:b/>
          <w:bCs/>
          <w:iCs/>
          <w:color w:val="000000" w:themeColor="text1"/>
          <w:szCs w:val="28"/>
        </w:rPr>
        <w:t>87</w:t>
      </w:r>
      <w:r w:rsidR="00702BDA" w:rsidRPr="00702BDA">
        <w:rPr>
          <w:b/>
          <w:bCs/>
          <w:iCs/>
          <w:color w:val="000000" w:themeColor="text1"/>
          <w:szCs w:val="28"/>
        </w:rPr>
        <w:t xml:space="preserve">  </w:t>
      </w:r>
      <w:proofErr w:type="gramEnd"/>
    </w:p>
    <w:p w:rsidR="00702BDA" w:rsidRPr="001D4EA9" w:rsidRDefault="00702BDA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</w:t>
            </w:r>
            <w:r w:rsidR="008D567D">
              <w:rPr>
                <w:b/>
                <w:i/>
                <w:sz w:val="24"/>
                <w:szCs w:val="24"/>
              </w:rPr>
              <w:t>806</w:t>
            </w:r>
            <w:r w:rsidR="00D13576">
              <w:rPr>
                <w:b/>
                <w:i/>
                <w:sz w:val="24"/>
                <w:szCs w:val="24"/>
              </w:rPr>
              <w:t>472741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C115C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115CE">
              <w:rPr>
                <w:b/>
                <w:bCs/>
                <w:caps/>
                <w:snapToGrid/>
                <w:sz w:val="26"/>
                <w:szCs w:val="26"/>
              </w:rPr>
              <w:t>08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13576">
              <w:rPr>
                <w:b/>
                <w:snapToGrid/>
                <w:sz w:val="26"/>
                <w:szCs w:val="26"/>
              </w:rPr>
              <w:t>июня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A429E3" w:rsidRPr="006F7336" w:rsidRDefault="008D567D" w:rsidP="00A429E3">
      <w:pPr>
        <w:pStyle w:val="a6"/>
        <w:tabs>
          <w:tab w:val="left" w:pos="1134"/>
        </w:tabs>
        <w:spacing w:before="0" w:line="240" w:lineRule="auto"/>
        <w:rPr>
          <w:b/>
          <w:sz w:val="16"/>
          <w:szCs w:val="1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открытый запрос цен на право заключения договора </w:t>
      </w:r>
      <w:r w:rsidR="00A429E3">
        <w:rPr>
          <w:bCs/>
          <w:sz w:val="26"/>
          <w:szCs w:val="26"/>
        </w:rPr>
        <w:t xml:space="preserve">на выполнение работ </w:t>
      </w:r>
      <w:r w:rsidR="00D13576" w:rsidRPr="00D13576">
        <w:rPr>
          <w:b/>
          <w:bCs/>
          <w:i/>
          <w:snapToGrid w:val="0"/>
          <w:sz w:val="26"/>
          <w:szCs w:val="26"/>
        </w:rPr>
        <w:t xml:space="preserve">"Мероприятия по строительству и реконструкции электрических сетей до 10 </w:t>
      </w:r>
      <w:proofErr w:type="spellStart"/>
      <w:r w:rsidR="00D13576" w:rsidRPr="00D13576">
        <w:rPr>
          <w:b/>
          <w:bCs/>
          <w:i/>
          <w:snapToGrid w:val="0"/>
          <w:sz w:val="26"/>
          <w:szCs w:val="26"/>
        </w:rPr>
        <w:t>кВ</w:t>
      </w:r>
      <w:proofErr w:type="spellEnd"/>
      <w:r w:rsidR="00D13576" w:rsidRPr="00D13576">
        <w:rPr>
          <w:b/>
          <w:bCs/>
          <w:i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(урочище "Мирное", урочище "Тавричанское", п. Тимофеевка, п. Мирный, урочище "Морское") "</w:t>
      </w:r>
      <w:r w:rsidR="00702BDA" w:rsidRPr="00702BDA">
        <w:rPr>
          <w:b/>
          <w:bCs/>
          <w:snapToGrid w:val="0"/>
          <w:sz w:val="26"/>
          <w:szCs w:val="26"/>
        </w:rPr>
        <w:t xml:space="preserve">, </w:t>
      </w:r>
      <w:r w:rsidR="00702BDA" w:rsidRPr="00702BDA">
        <w:rPr>
          <w:bCs/>
          <w:snapToGrid w:val="0"/>
          <w:sz w:val="26"/>
          <w:szCs w:val="26"/>
        </w:rPr>
        <w:t>закупка 20</w:t>
      </w:r>
      <w:r w:rsidR="00D13576">
        <w:rPr>
          <w:bCs/>
          <w:snapToGrid w:val="0"/>
          <w:sz w:val="26"/>
          <w:szCs w:val="26"/>
        </w:rPr>
        <w:t>87</w:t>
      </w:r>
      <w:r w:rsidR="00702BDA" w:rsidRPr="00702BDA">
        <w:rPr>
          <w:b/>
          <w:bCs/>
          <w:snapToGrid w:val="0"/>
          <w:sz w:val="26"/>
          <w:szCs w:val="26"/>
        </w:rPr>
        <w:t xml:space="preserve"> </w:t>
      </w:r>
    </w:p>
    <w:p w:rsidR="00702BDA" w:rsidRDefault="00702BD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429E3" w:rsidRPr="00CD5C40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D5C40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A429E3" w:rsidRPr="00CD5C40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D5C40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D5C40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5C40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A429E3" w:rsidRPr="00CD5C40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D5C40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CD5C40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CD5C40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5C40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D5C40">
        <w:rPr>
          <w:bCs/>
          <w:i/>
          <w:iCs/>
          <w:snapToGrid/>
          <w:sz w:val="26"/>
          <w:szCs w:val="26"/>
        </w:rPr>
        <w:t xml:space="preserve"> заявок</w:t>
      </w:r>
    </w:p>
    <w:p w:rsidR="00A429E3" w:rsidRPr="00CD5C40" w:rsidRDefault="00A429E3" w:rsidP="00A429E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D5C40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CD5C40" w:rsidRPr="00CD5C40" w:rsidRDefault="00CD5C40" w:rsidP="00CD5C40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CD5C40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D5C40" w:rsidRPr="00CD5C40" w:rsidRDefault="00CD5C40" w:rsidP="00CD5C40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</w:rPr>
      </w:pPr>
      <w:r w:rsidRPr="00CD5C40">
        <w:rPr>
          <w:snapToGrid/>
          <w:sz w:val="26"/>
          <w:szCs w:val="26"/>
        </w:rPr>
        <w:t>Принять цены, полученные по  окончании срока подачи заявок.</w:t>
      </w:r>
    </w:p>
    <w:tbl>
      <w:tblPr>
        <w:tblW w:w="955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1350"/>
        <w:gridCol w:w="3446"/>
        <w:gridCol w:w="1439"/>
        <w:gridCol w:w="1439"/>
        <w:gridCol w:w="1279"/>
      </w:tblGrid>
      <w:tr w:rsidR="00CD5C40" w:rsidRPr="00CD5C40" w:rsidTr="00142945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D5C40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CD5C4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CD5C4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D5C4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D5C4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D5C4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без НДС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D5C4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Заявка с НДС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CD5C40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Ставка НДС</w:t>
            </w:r>
          </w:p>
        </w:tc>
      </w:tr>
      <w:tr w:rsidR="00CD5C40" w:rsidRPr="00CD5C40" w:rsidTr="00142945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D5C40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D5C40">
              <w:rPr>
                <w:rFonts w:eastAsiaTheme="minorHAnsi"/>
                <w:snapToGrid/>
                <w:sz w:val="24"/>
                <w:szCs w:val="24"/>
                <w:lang w:eastAsia="en-US"/>
              </w:rPr>
              <w:t>24.05.2018 20:17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D5C4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«Региональная </w:t>
            </w:r>
            <w:proofErr w:type="spellStart"/>
            <w:r w:rsidRPr="00CD5C4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ЭнергоМонтажная</w:t>
            </w:r>
            <w:proofErr w:type="spellEnd"/>
            <w:r w:rsidRPr="00CD5C4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Компания»</w:t>
            </w:r>
            <w:r w:rsidRPr="00CD5C4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CD5C4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2466216351/246601001 </w:t>
            </w:r>
            <w:r w:rsidRPr="00CD5C4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1082468059288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D5C4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5 385 753.89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D5C40">
              <w:rPr>
                <w:rFonts w:eastAsiaTheme="minorHAnsi"/>
                <w:snapToGrid/>
                <w:sz w:val="24"/>
                <w:szCs w:val="24"/>
                <w:lang w:eastAsia="en-US"/>
              </w:rPr>
              <w:t>6 355 189.59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D5C40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CD5C40" w:rsidRPr="00CD5C40" w:rsidTr="00142945">
        <w:trPr>
          <w:cantSplit/>
          <w:trHeight w:val="10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CD5C40">
              <w:rPr>
                <w:rFonts w:eastAsiaTheme="minorEastAsia"/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D5C40">
              <w:rPr>
                <w:rFonts w:eastAsiaTheme="minorHAnsi"/>
                <w:snapToGrid/>
                <w:sz w:val="24"/>
                <w:szCs w:val="24"/>
                <w:lang w:eastAsia="en-US"/>
              </w:rPr>
              <w:t>25.05.2018 05:07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D5C4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CD5C4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CD5C4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CD5C4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D5C4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5 000 000.00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D5C40">
              <w:rPr>
                <w:rFonts w:eastAsiaTheme="minorHAnsi"/>
                <w:snapToGrid/>
                <w:sz w:val="24"/>
                <w:szCs w:val="24"/>
                <w:lang w:eastAsia="en-US"/>
              </w:rPr>
              <w:t>5 900 000.00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D5C40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CD5C40" w:rsidRPr="00CD5C40" w:rsidRDefault="00CD5C40" w:rsidP="00CD5C40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CD5C40">
        <w:rPr>
          <w:b/>
          <w:sz w:val="26"/>
          <w:szCs w:val="26"/>
        </w:rPr>
        <w:t>1. Признать</w:t>
      </w:r>
      <w:r w:rsidRPr="00CD5C40">
        <w:rPr>
          <w:sz w:val="26"/>
          <w:szCs w:val="26"/>
        </w:rPr>
        <w:t xml:space="preserve"> заявки </w:t>
      </w:r>
      <w:r w:rsidRPr="00CD5C40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ООО «Региональная </w:t>
      </w:r>
      <w:proofErr w:type="spellStart"/>
      <w:r w:rsidRPr="00CD5C40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ЭнергоМонтажная</w:t>
      </w:r>
      <w:proofErr w:type="spellEnd"/>
      <w:r w:rsidRPr="00CD5C40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 Компания» </w:t>
      </w:r>
      <w:r w:rsidRPr="00CD5C40">
        <w:rPr>
          <w:rFonts w:eastAsiaTheme="minorHAnsi" w:cstheme="minorBidi"/>
          <w:i/>
          <w:snapToGrid/>
          <w:sz w:val="26"/>
          <w:szCs w:val="26"/>
          <w:lang w:eastAsia="en-US"/>
        </w:rPr>
        <w:t>ИНН/КПП 2466216351/246601001 ОГРН 1082468059288</w:t>
      </w:r>
      <w:r w:rsidRPr="00CD5C40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, ООО "ТЕХЦЕНТР" </w:t>
      </w:r>
      <w:r w:rsidRPr="00CD5C40">
        <w:rPr>
          <w:rFonts w:eastAsiaTheme="minorHAnsi" w:cstheme="minorBidi"/>
          <w:i/>
          <w:snapToGrid/>
          <w:sz w:val="26"/>
          <w:szCs w:val="26"/>
          <w:lang w:eastAsia="en-US"/>
        </w:rPr>
        <w:t>ИНН/КПП 2539057716/253901001 ОГРН 1032502131056</w:t>
      </w:r>
      <w:r w:rsidRPr="00CD5C40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CD5C4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CD5C40" w:rsidRPr="00CD5C40" w:rsidRDefault="00CD5C40" w:rsidP="00CD5C40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CD5C40">
        <w:rPr>
          <w:sz w:val="26"/>
          <w:szCs w:val="26"/>
        </w:rPr>
        <w:t xml:space="preserve">Утвердить </w:t>
      </w:r>
      <w:proofErr w:type="gramStart"/>
      <w:r w:rsidRPr="00CD5C40">
        <w:rPr>
          <w:sz w:val="26"/>
          <w:szCs w:val="26"/>
        </w:rPr>
        <w:t>итоговую</w:t>
      </w:r>
      <w:proofErr w:type="gramEnd"/>
      <w:r w:rsidRPr="00CD5C40">
        <w:rPr>
          <w:sz w:val="26"/>
          <w:szCs w:val="26"/>
        </w:rPr>
        <w:t xml:space="preserve"> </w:t>
      </w:r>
      <w:proofErr w:type="spellStart"/>
      <w:r w:rsidRPr="00CD5C40">
        <w:rPr>
          <w:sz w:val="26"/>
          <w:szCs w:val="26"/>
        </w:rPr>
        <w:t>ранжировку</w:t>
      </w:r>
      <w:proofErr w:type="spellEnd"/>
      <w:r w:rsidRPr="00CD5C40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942"/>
        <w:gridCol w:w="1984"/>
        <w:gridCol w:w="1618"/>
      </w:tblGrid>
      <w:tr w:rsidR="00CD5C40" w:rsidRPr="00CD5C40" w:rsidTr="00142945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C40" w:rsidRPr="00CD5C40" w:rsidRDefault="00CD5C40" w:rsidP="00CD5C4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D5C40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CD5C40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CD5C40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CD5C40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C40" w:rsidRPr="00CD5C40" w:rsidRDefault="00CD5C40" w:rsidP="00CD5C4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CD5C40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C40" w:rsidRPr="00CD5C40" w:rsidRDefault="00CD5C40" w:rsidP="00CD5C4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D5C40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5C40" w:rsidRPr="00CD5C40" w:rsidRDefault="00CD5C40" w:rsidP="00CD5C4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CD5C40">
              <w:rPr>
                <w:b/>
                <w:bCs/>
                <w:i/>
                <w:snapToGrid/>
                <w:sz w:val="20"/>
              </w:rPr>
              <w:t>Применение приоритета в соответствии с 925-ПП</w:t>
            </w:r>
          </w:p>
        </w:tc>
      </w:tr>
      <w:tr w:rsidR="00CD5C40" w:rsidRPr="00CD5C40" w:rsidTr="00142945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5C40" w:rsidRPr="00CD5C40" w:rsidRDefault="00CD5C40" w:rsidP="00CD5C40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D5C40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D5C4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CD5C4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ИНН/КПП 2539057716/253901001 ОГРН 1032502131056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D5C4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5 000 000.00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5C40" w:rsidRPr="00CD5C40" w:rsidRDefault="00CD5C40" w:rsidP="00CD5C40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D5C4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CD5C40" w:rsidRPr="00CD5C40" w:rsidTr="00142945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5C40" w:rsidRPr="00CD5C40" w:rsidRDefault="00CD5C40" w:rsidP="00CD5C40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CD5C40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CD5C4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«Региональная </w:t>
            </w:r>
            <w:proofErr w:type="spellStart"/>
            <w:r w:rsidRPr="00CD5C4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ЭнергоМонтажная</w:t>
            </w:r>
            <w:proofErr w:type="spellEnd"/>
            <w:r w:rsidRPr="00CD5C4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 Компания»</w:t>
            </w:r>
            <w:r w:rsidRPr="00CD5C40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ИНН/КПП 2466216351/246601001 </w:t>
            </w:r>
            <w:r w:rsidRPr="00CD5C40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1082468059288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5C40" w:rsidRPr="00CD5C40" w:rsidRDefault="00CD5C40" w:rsidP="00CD5C4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CD5C40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5 385 753.89</w:t>
            </w:r>
          </w:p>
        </w:tc>
        <w:tc>
          <w:tcPr>
            <w:tcW w:w="1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5C40" w:rsidRPr="00CD5C40" w:rsidRDefault="00CD5C40" w:rsidP="00CD5C40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CD5C40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CD5C40" w:rsidRPr="00CD5C40" w:rsidRDefault="00CD5C40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CD5C40" w:rsidRPr="00CD5C40" w:rsidRDefault="00CD5C40" w:rsidP="00CD5C40">
      <w:pPr>
        <w:widowControl w:val="0"/>
        <w:autoSpaceDE w:val="0"/>
        <w:autoSpaceDN w:val="0"/>
        <w:adjustRightInd w:val="0"/>
        <w:spacing w:line="240" w:lineRule="auto"/>
        <w:ind w:firstLine="426"/>
        <w:rPr>
          <w:rFonts w:eastAsiaTheme="minorHAnsi" w:cstheme="minorBidi"/>
          <w:snapToGrid/>
          <w:sz w:val="26"/>
          <w:szCs w:val="26"/>
          <w:lang w:eastAsia="en-US"/>
        </w:rPr>
      </w:pPr>
      <w:r w:rsidRPr="00CD5C40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proofErr w:type="gramStart"/>
      <w:r w:rsidRPr="00CD5C40">
        <w:rPr>
          <w:rFonts w:eastAsiaTheme="minorHAnsi"/>
          <w:b/>
          <w:i/>
          <w:sz w:val="26"/>
          <w:szCs w:val="26"/>
          <w:lang w:eastAsia="en-US"/>
        </w:rPr>
        <w:t>Признать победителем</w:t>
      </w:r>
      <w:r w:rsidRPr="00CD5C40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CD5C40">
        <w:rPr>
          <w:rFonts w:eastAsiaTheme="minorHAnsi"/>
          <w:bCs/>
          <w:iCs/>
          <w:sz w:val="26"/>
          <w:szCs w:val="26"/>
          <w:lang w:eastAsia="en-US"/>
        </w:rPr>
        <w:t xml:space="preserve">на право заключение договора </w:t>
      </w:r>
      <w:r w:rsidRPr="00CD5C40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"Мероприятия по строительству и реконструкции электрических сетей до 10 </w:t>
      </w:r>
      <w:proofErr w:type="spellStart"/>
      <w:r w:rsidRPr="00CD5C40">
        <w:rPr>
          <w:rFonts w:eastAsiaTheme="minorHAnsi"/>
          <w:b/>
          <w:bCs/>
          <w:i/>
          <w:iCs/>
          <w:sz w:val="26"/>
          <w:szCs w:val="26"/>
          <w:lang w:eastAsia="en-US"/>
        </w:rPr>
        <w:t>кВ</w:t>
      </w:r>
      <w:proofErr w:type="spellEnd"/>
      <w:r w:rsidRPr="00CD5C40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для технологического присоединения потребителей (в том числе ПИР) на территории филиала ПЭС (урочище "Мирное", урочище "Тавричанское", п. Тимофеевка, п. Мирный, урочище "Морское") ",  </w:t>
      </w:r>
      <w:r w:rsidRPr="00CD5C40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CD5C40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CD5C40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CD5C40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CD5C40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 xml:space="preserve">ООО "ТЕХЦЕНТР" </w:t>
      </w:r>
      <w:r w:rsidRPr="00CD5C40">
        <w:rPr>
          <w:rFonts w:eastAsiaTheme="minorHAnsi" w:cstheme="minorBidi"/>
          <w:snapToGrid/>
          <w:sz w:val="26"/>
          <w:szCs w:val="26"/>
          <w:lang w:eastAsia="en-US"/>
        </w:rPr>
        <w:t>ИНН/КПП 2539057716/253901001 ОГРН</w:t>
      </w:r>
      <w:proofErr w:type="gramEnd"/>
      <w:r w:rsidRPr="00CD5C40">
        <w:rPr>
          <w:rFonts w:eastAsiaTheme="minorHAnsi" w:cstheme="minorBidi"/>
          <w:snapToGrid/>
          <w:sz w:val="26"/>
          <w:szCs w:val="26"/>
          <w:lang w:eastAsia="en-US"/>
        </w:rPr>
        <w:t xml:space="preserve"> 1032502131056 на условиях: стоимость заявки </w:t>
      </w:r>
      <w:r w:rsidRPr="00CD5C40">
        <w:rPr>
          <w:rFonts w:eastAsiaTheme="minorHAnsi" w:cstheme="minorBidi"/>
          <w:b/>
          <w:i/>
          <w:snapToGrid/>
          <w:sz w:val="26"/>
          <w:szCs w:val="26"/>
          <w:lang w:eastAsia="en-US"/>
        </w:rPr>
        <w:t>5 000 000,00 руб. без учета НДС</w:t>
      </w:r>
      <w:r w:rsidRPr="00CD5C40">
        <w:rPr>
          <w:rFonts w:eastAsiaTheme="minorHAnsi" w:cstheme="minorBidi"/>
          <w:snapToGrid/>
          <w:sz w:val="26"/>
          <w:szCs w:val="26"/>
          <w:lang w:eastAsia="en-US"/>
        </w:rPr>
        <w:t xml:space="preserve"> (5 900 000,00 руб. с учетом НДС). Срок выполнения работ: с момента заключения договора до 27.09.2018. Условия оплаты: оплата выполненных работ производится  в течение 30 (тридцати) календарных дней </w:t>
      </w:r>
      <w:proofErr w:type="gramStart"/>
      <w:r w:rsidRPr="00CD5C40">
        <w:rPr>
          <w:rFonts w:eastAsiaTheme="minorHAnsi" w:cstheme="minorBidi"/>
          <w:snapToGrid/>
          <w:sz w:val="26"/>
          <w:szCs w:val="26"/>
          <w:lang w:eastAsia="en-US"/>
        </w:rPr>
        <w:t>с даты подписания</w:t>
      </w:r>
      <w:proofErr w:type="gramEnd"/>
      <w:r w:rsidRPr="00CD5C40">
        <w:rPr>
          <w:rFonts w:eastAsiaTheme="minorHAnsi" w:cstheme="minorBidi"/>
          <w:snapToGrid/>
          <w:sz w:val="26"/>
          <w:szCs w:val="26"/>
          <w:lang w:eastAsia="en-US"/>
        </w:rPr>
        <w:t xml:space="preserve"> актов выполненных работ, на основании выставленных Подрядчиком счетов. Окончательный расчет, за исключением обеспечительного платежа, Заказчик обязан произвести в течение 30 (тридцати) календарных дней </w:t>
      </w:r>
      <w:proofErr w:type="gramStart"/>
      <w:r w:rsidRPr="00CD5C40">
        <w:rPr>
          <w:rFonts w:eastAsiaTheme="minorHAnsi" w:cstheme="minorBidi"/>
          <w:snapToGrid/>
          <w:sz w:val="26"/>
          <w:szCs w:val="26"/>
          <w:lang w:eastAsia="en-US"/>
        </w:rPr>
        <w:t>с даты подписания</w:t>
      </w:r>
      <w:proofErr w:type="gramEnd"/>
      <w:r w:rsidRPr="00CD5C40">
        <w:rPr>
          <w:rFonts w:eastAsiaTheme="minorHAnsi" w:cstheme="minorBidi"/>
          <w:snapToGrid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Гарантийные обязательства: 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36 месяцев с момента подписания акта сдачи-приемки выполненных работ по настоящему договору в полном объеме.</w:t>
      </w:r>
    </w:p>
    <w:p w:rsidR="00A429E3" w:rsidRPr="006F7336" w:rsidRDefault="00A429E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D13576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D13576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CD5C40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04" w:rsidRDefault="001E5204" w:rsidP="00355095">
      <w:pPr>
        <w:spacing w:line="240" w:lineRule="auto"/>
      </w:pPr>
      <w:r>
        <w:separator/>
      </w:r>
    </w:p>
  </w:endnote>
  <w:endnote w:type="continuationSeparator" w:id="0">
    <w:p w:rsidR="001E5204" w:rsidRDefault="001E52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15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15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04" w:rsidRDefault="001E5204" w:rsidP="00355095">
      <w:pPr>
        <w:spacing w:line="240" w:lineRule="auto"/>
      </w:pPr>
      <w:r>
        <w:separator/>
      </w:r>
    </w:p>
  </w:footnote>
  <w:footnote w:type="continuationSeparator" w:id="0">
    <w:p w:rsidR="001E5204" w:rsidRDefault="001E52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702BDA">
      <w:rPr>
        <w:i/>
        <w:sz w:val="20"/>
      </w:rPr>
      <w:t>20</w:t>
    </w:r>
    <w:r w:rsidR="00D13576">
      <w:rPr>
        <w:i/>
        <w:sz w:val="20"/>
      </w:rPr>
      <w:t>87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0"/>
  </w:num>
  <w:num w:numId="9">
    <w:abstractNumId w:val="4"/>
  </w:num>
  <w:num w:numId="10">
    <w:abstractNumId w:val="27"/>
  </w:num>
  <w:num w:numId="11">
    <w:abstractNumId w:val="9"/>
  </w:num>
  <w:num w:numId="12">
    <w:abstractNumId w:val="16"/>
  </w:num>
  <w:num w:numId="13">
    <w:abstractNumId w:val="26"/>
  </w:num>
  <w:num w:numId="14">
    <w:abstractNumId w:val="23"/>
  </w:num>
  <w:num w:numId="15">
    <w:abstractNumId w:val="10"/>
  </w:num>
  <w:num w:numId="16">
    <w:abstractNumId w:val="29"/>
  </w:num>
  <w:num w:numId="17">
    <w:abstractNumId w:val="14"/>
  </w:num>
  <w:num w:numId="18">
    <w:abstractNumId w:val="6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5"/>
  </w:num>
  <w:num w:numId="32">
    <w:abstractNumId w:val="18"/>
  </w:num>
  <w:num w:numId="33">
    <w:abstractNumId w:val="1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886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754B"/>
    <w:rsid w:val="00120E1A"/>
    <w:rsid w:val="00126847"/>
    <w:rsid w:val="00132177"/>
    <w:rsid w:val="00133708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E5204"/>
    <w:rsid w:val="001F001D"/>
    <w:rsid w:val="001F1045"/>
    <w:rsid w:val="001F16DB"/>
    <w:rsid w:val="001F1CAA"/>
    <w:rsid w:val="00200CC3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20117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830E0"/>
    <w:rsid w:val="0079337E"/>
    <w:rsid w:val="0079457B"/>
    <w:rsid w:val="007A01C9"/>
    <w:rsid w:val="007A0ACC"/>
    <w:rsid w:val="007A0EBF"/>
    <w:rsid w:val="007B404E"/>
    <w:rsid w:val="007B697F"/>
    <w:rsid w:val="007C219A"/>
    <w:rsid w:val="007C3379"/>
    <w:rsid w:val="007C4382"/>
    <w:rsid w:val="007C54CF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29E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5CE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5E95"/>
    <w:rsid w:val="00CD1990"/>
    <w:rsid w:val="00CD5C40"/>
    <w:rsid w:val="00CE127B"/>
    <w:rsid w:val="00CE3F1D"/>
    <w:rsid w:val="00CF1CFD"/>
    <w:rsid w:val="00CF2EA5"/>
    <w:rsid w:val="00D021F1"/>
    <w:rsid w:val="00D0338E"/>
    <w:rsid w:val="00D048CE"/>
    <w:rsid w:val="00D05F7D"/>
    <w:rsid w:val="00D13576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104D"/>
    <w:rsid w:val="00EE38AB"/>
    <w:rsid w:val="00EE59FA"/>
    <w:rsid w:val="00EF0C12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167</cp:revision>
  <cp:lastPrinted>2018-06-06T09:46:00Z</cp:lastPrinted>
  <dcterms:created xsi:type="dcterms:W3CDTF">2015-03-25T00:17:00Z</dcterms:created>
  <dcterms:modified xsi:type="dcterms:W3CDTF">2018-06-08T09:22:00Z</dcterms:modified>
</cp:coreProperties>
</file>