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0317C9">
        <w:rPr>
          <w:rFonts w:ascii="Times New Roman" w:hAnsi="Times New Roman"/>
          <w:bCs w:val="0"/>
          <w:caps/>
          <w:sz w:val="32"/>
          <w:szCs w:val="32"/>
        </w:rPr>
        <w:t>3</w:t>
      </w:r>
      <w:r w:rsidR="007D366E">
        <w:rPr>
          <w:rFonts w:ascii="Times New Roman" w:hAnsi="Times New Roman"/>
          <w:bCs w:val="0"/>
          <w:caps/>
          <w:sz w:val="32"/>
          <w:szCs w:val="32"/>
        </w:rPr>
        <w:t>6</w:t>
      </w:r>
      <w:r w:rsidR="002E0302">
        <w:rPr>
          <w:rFonts w:ascii="Times New Roman" w:hAnsi="Times New Roman"/>
          <w:bCs w:val="0"/>
          <w:caps/>
          <w:sz w:val="32"/>
          <w:szCs w:val="32"/>
        </w:rPr>
        <w:t>2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2E0302">
        <w:rPr>
          <w:rFonts w:ascii="Times New Roman" w:hAnsi="Times New Roman"/>
          <w:bCs w:val="0"/>
          <w:caps/>
          <w:sz w:val="32"/>
          <w:szCs w:val="32"/>
        </w:rPr>
        <w:t>Э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FC17FA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FC17FA">
        <w:rPr>
          <w:b/>
          <w:bCs/>
          <w:szCs w:val="28"/>
        </w:rPr>
        <w:t xml:space="preserve">Заседания закупочной комиссии по </w:t>
      </w:r>
      <w:r w:rsidR="00176397" w:rsidRPr="00FC17FA">
        <w:rPr>
          <w:b/>
          <w:bCs/>
          <w:szCs w:val="28"/>
        </w:rPr>
        <w:t xml:space="preserve">выбору победителя по открытому </w:t>
      </w:r>
      <w:r w:rsidRPr="00FC17FA">
        <w:rPr>
          <w:b/>
          <w:bCs/>
          <w:szCs w:val="28"/>
        </w:rPr>
        <w:t xml:space="preserve"> запросу цен на право заключения договора: </w:t>
      </w:r>
    </w:p>
    <w:p w:rsidR="007D366E" w:rsidRPr="00AB4FB3" w:rsidRDefault="007D366E" w:rsidP="007D366E">
      <w:pPr>
        <w:pStyle w:val="a6"/>
        <w:tabs>
          <w:tab w:val="left" w:pos="567"/>
          <w:tab w:val="left" w:pos="993"/>
        </w:tabs>
        <w:spacing w:before="0" w:line="240" w:lineRule="auto"/>
        <w:rPr>
          <w:szCs w:val="28"/>
        </w:rPr>
      </w:pPr>
      <w:r w:rsidRPr="00AB4FB3">
        <w:rPr>
          <w:b/>
          <w:i/>
          <w:szCs w:val="28"/>
        </w:rPr>
        <w:t>«СИЗ Указатели напряжения» для нужд филиалов АО «ДРСК</w:t>
      </w:r>
      <w:r w:rsidRPr="00AB4FB3">
        <w:rPr>
          <w:i/>
          <w:szCs w:val="28"/>
        </w:rPr>
        <w:t>»</w:t>
      </w:r>
      <w:r w:rsidRPr="00AB4FB3">
        <w:rPr>
          <w:szCs w:val="28"/>
        </w:rPr>
        <w:t xml:space="preserve"> (закупка 1308 раздела 4.2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FC17FA" w:rsidTr="00281B89">
        <w:tc>
          <w:tcPr>
            <w:tcW w:w="4998" w:type="dxa"/>
          </w:tcPr>
          <w:p w:rsidR="00176397" w:rsidRPr="00FC17FA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FC17FA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sz w:val="26"/>
                <w:szCs w:val="26"/>
              </w:rPr>
              <w:t xml:space="preserve">ЕИС </w:t>
            </w:r>
            <w:r w:rsidRPr="00FC17FA">
              <w:rPr>
                <w:sz w:val="26"/>
                <w:szCs w:val="26"/>
              </w:rPr>
              <w:t xml:space="preserve">№ </w:t>
            </w:r>
            <w:r w:rsidR="007D366E" w:rsidRPr="00AB4FB3">
              <w:rPr>
                <w:b/>
                <w:sz w:val="26"/>
                <w:szCs w:val="26"/>
              </w:rPr>
              <w:t>31806310113</w:t>
            </w:r>
            <w:r w:rsidR="00801F58" w:rsidRPr="00FC17FA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FC17FA" w:rsidRDefault="00176397" w:rsidP="00C8092D">
            <w:pPr>
              <w:jc w:val="right"/>
              <w:rPr>
                <w:b/>
                <w:bCs/>
                <w:sz w:val="26"/>
                <w:szCs w:val="26"/>
              </w:rPr>
            </w:pPr>
            <w:r w:rsidRPr="00FC17FA">
              <w:rPr>
                <w:b/>
                <w:bCs/>
                <w:caps/>
                <w:sz w:val="26"/>
                <w:szCs w:val="26"/>
              </w:rPr>
              <w:t>«</w:t>
            </w:r>
            <w:r w:rsidR="00176DC9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C8092D">
              <w:rPr>
                <w:b/>
                <w:bCs/>
                <w:caps/>
                <w:sz w:val="26"/>
                <w:szCs w:val="26"/>
              </w:rPr>
              <w:t>08</w:t>
            </w:r>
            <w:bookmarkStart w:id="2" w:name="_GoBack"/>
            <w:bookmarkEnd w:id="2"/>
            <w:r w:rsidR="001A4995" w:rsidRPr="00FC17FA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FC17FA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2E0302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 xml:space="preserve">мая </w:t>
            </w:r>
            <w:r w:rsidR="00907E0E" w:rsidRPr="00FC17FA">
              <w:rPr>
                <w:b/>
                <w:sz w:val="26"/>
                <w:szCs w:val="26"/>
              </w:rPr>
              <w:t>2018</w:t>
            </w:r>
          </w:p>
        </w:tc>
      </w:tr>
    </w:tbl>
    <w:p w:rsidR="007A0EBF" w:rsidRPr="00FC17FA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7D366E" w:rsidRPr="007D366E" w:rsidRDefault="00F25EDC" w:rsidP="002E0302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sz w:val="26"/>
          <w:szCs w:val="26"/>
        </w:rPr>
      </w:pPr>
      <w:r w:rsidRPr="00FC17FA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D366E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7D366E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7D366E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366E" w:rsidRPr="007D366E">
        <w:rPr>
          <w:b/>
          <w:i/>
          <w:sz w:val="26"/>
          <w:szCs w:val="26"/>
        </w:rPr>
        <w:t>«</w:t>
      </w:r>
      <w:proofErr w:type="gramStart"/>
      <w:r w:rsidR="007D366E" w:rsidRPr="007D366E">
        <w:rPr>
          <w:b/>
          <w:i/>
          <w:sz w:val="26"/>
          <w:szCs w:val="26"/>
        </w:rPr>
        <w:t>СИЗ</w:t>
      </w:r>
      <w:proofErr w:type="gramEnd"/>
      <w:r w:rsidR="007D366E" w:rsidRPr="007D366E">
        <w:rPr>
          <w:b/>
          <w:i/>
          <w:sz w:val="26"/>
          <w:szCs w:val="26"/>
        </w:rPr>
        <w:t xml:space="preserve"> Указатели напряжения» для нужд филиалов АО «ДРСК</w:t>
      </w:r>
      <w:r w:rsidR="007D366E" w:rsidRPr="007D366E">
        <w:rPr>
          <w:i/>
          <w:sz w:val="26"/>
          <w:szCs w:val="26"/>
        </w:rPr>
        <w:t>»</w:t>
      </w:r>
      <w:r w:rsidR="007D366E" w:rsidRPr="007D366E">
        <w:rPr>
          <w:sz w:val="26"/>
          <w:szCs w:val="26"/>
        </w:rPr>
        <w:t xml:space="preserve"> </w:t>
      </w:r>
    </w:p>
    <w:p w:rsidR="00623A9C" w:rsidRPr="007D366E" w:rsidRDefault="00623A9C" w:rsidP="002E0302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snapToGrid/>
          <w:sz w:val="26"/>
          <w:szCs w:val="26"/>
        </w:rPr>
      </w:pPr>
      <w:r w:rsidRPr="007D366E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7D366E" w:rsidRPr="007D366E">
        <w:rPr>
          <w:b/>
          <w:i/>
          <w:sz w:val="26"/>
          <w:szCs w:val="26"/>
        </w:rPr>
        <w:t>1 948 468,20</w:t>
      </w:r>
      <w:r w:rsidR="00B4767E" w:rsidRPr="007D366E">
        <w:rPr>
          <w:sz w:val="26"/>
          <w:szCs w:val="26"/>
        </w:rPr>
        <w:t xml:space="preserve"> </w:t>
      </w:r>
      <w:r w:rsidRPr="007D366E">
        <w:rPr>
          <w:sz w:val="26"/>
          <w:szCs w:val="26"/>
        </w:rPr>
        <w:t>руб. без учета НДС.</w:t>
      </w:r>
    </w:p>
    <w:p w:rsidR="00ED714C" w:rsidRPr="007D366E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7D366E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7D366E">
        <w:rPr>
          <w:b/>
          <w:sz w:val="26"/>
          <w:szCs w:val="26"/>
        </w:rPr>
        <w:t xml:space="preserve">ПРИСУТСТВОВАЛИ: </w:t>
      </w:r>
      <w:r w:rsidRPr="007D366E">
        <w:rPr>
          <w:sz w:val="26"/>
          <w:szCs w:val="26"/>
        </w:rPr>
        <w:t>член</w:t>
      </w:r>
      <w:r w:rsidR="005F5454" w:rsidRPr="007D366E">
        <w:rPr>
          <w:sz w:val="26"/>
          <w:szCs w:val="26"/>
        </w:rPr>
        <w:t>ы</w:t>
      </w:r>
      <w:r w:rsidRPr="007D366E">
        <w:rPr>
          <w:b/>
          <w:sz w:val="26"/>
          <w:szCs w:val="26"/>
        </w:rPr>
        <w:t xml:space="preserve"> </w:t>
      </w:r>
      <w:r w:rsidRPr="007D366E">
        <w:rPr>
          <w:sz w:val="26"/>
          <w:szCs w:val="26"/>
        </w:rPr>
        <w:t>постоянно д</w:t>
      </w:r>
      <w:r w:rsidR="00F25EDC" w:rsidRPr="007D366E">
        <w:rPr>
          <w:sz w:val="26"/>
          <w:szCs w:val="26"/>
        </w:rPr>
        <w:t>ействующей Закупочной комисс</w:t>
      </w:r>
      <w:proofErr w:type="gramStart"/>
      <w:r w:rsidR="00F25EDC" w:rsidRPr="007D366E">
        <w:rPr>
          <w:sz w:val="26"/>
          <w:szCs w:val="26"/>
        </w:rPr>
        <w:t xml:space="preserve">ии </w:t>
      </w:r>
      <w:r w:rsidRPr="007D366E">
        <w:rPr>
          <w:sz w:val="26"/>
          <w:szCs w:val="26"/>
        </w:rPr>
        <w:t>АО</w:t>
      </w:r>
      <w:proofErr w:type="gramEnd"/>
      <w:r w:rsidRPr="007D366E">
        <w:rPr>
          <w:sz w:val="26"/>
          <w:szCs w:val="26"/>
        </w:rPr>
        <w:t xml:space="preserve"> «ДРСК»  </w:t>
      </w:r>
      <w:r w:rsidR="00801F58" w:rsidRPr="007D366E">
        <w:rPr>
          <w:sz w:val="26"/>
          <w:szCs w:val="26"/>
        </w:rPr>
        <w:t>1</w:t>
      </w:r>
      <w:r w:rsidRPr="007D366E">
        <w:rPr>
          <w:sz w:val="26"/>
          <w:szCs w:val="26"/>
        </w:rPr>
        <w:t>-го уровня.</w:t>
      </w:r>
    </w:p>
    <w:p w:rsidR="00ED714C" w:rsidRPr="007D366E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7D366E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7D366E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366E" w:rsidRPr="007D366E" w:rsidRDefault="007D366E" w:rsidP="007D366E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7D366E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D366E" w:rsidRPr="007D366E" w:rsidRDefault="007D366E" w:rsidP="007D366E">
      <w:pPr>
        <w:numPr>
          <w:ilvl w:val="0"/>
          <w:numId w:val="33"/>
        </w:numPr>
        <w:tabs>
          <w:tab w:val="left" w:pos="426"/>
        </w:tabs>
        <w:spacing w:after="200" w:line="240" w:lineRule="auto"/>
        <w:contextualSpacing/>
        <w:jc w:val="left"/>
        <w:rPr>
          <w:b/>
          <w:bCs/>
          <w:i/>
          <w:iCs/>
          <w:snapToGrid/>
          <w:sz w:val="26"/>
          <w:szCs w:val="26"/>
        </w:rPr>
      </w:pPr>
      <w:r w:rsidRPr="007D366E">
        <w:rPr>
          <w:bCs/>
          <w:i/>
          <w:iCs/>
          <w:snapToGrid/>
          <w:sz w:val="26"/>
          <w:szCs w:val="26"/>
        </w:rPr>
        <w:t xml:space="preserve">Об отклонении заявки ООО </w:t>
      </w:r>
      <w:r w:rsidRPr="007D366E">
        <w:rPr>
          <w:rFonts w:eastAsiaTheme="minorEastAsia"/>
          <w:i/>
          <w:snapToGrid/>
          <w:sz w:val="26"/>
          <w:szCs w:val="26"/>
          <w:lang w:eastAsia="en-US"/>
        </w:rPr>
        <w:t xml:space="preserve"> </w:t>
      </w:r>
      <w:r w:rsidRPr="007D366E">
        <w:rPr>
          <w:rFonts w:eastAsiaTheme="minorHAnsi"/>
          <w:i/>
          <w:snapToGrid/>
          <w:sz w:val="26"/>
          <w:szCs w:val="26"/>
          <w:lang w:eastAsia="en-US"/>
        </w:rPr>
        <w:t>«</w:t>
      </w:r>
      <w:r w:rsidRPr="007D366E">
        <w:rPr>
          <w:rFonts w:eastAsiaTheme="minorEastAsia"/>
          <w:i/>
          <w:snapToGrid/>
          <w:sz w:val="26"/>
          <w:szCs w:val="26"/>
          <w:lang w:eastAsia="en-US"/>
        </w:rPr>
        <w:t>ТД «ЭНЗА</w:t>
      </w:r>
      <w:r w:rsidRPr="007D366E">
        <w:rPr>
          <w:rFonts w:eastAsiaTheme="minorHAnsi"/>
          <w:i/>
          <w:snapToGrid/>
          <w:sz w:val="26"/>
          <w:szCs w:val="26"/>
          <w:lang w:eastAsia="en-US"/>
        </w:rPr>
        <w:t>»</w:t>
      </w:r>
      <w:r w:rsidRPr="007D366E">
        <w:rPr>
          <w:rFonts w:eastAsiaTheme="minorEastAsia"/>
          <w:b/>
          <w:snapToGrid/>
          <w:sz w:val="26"/>
          <w:szCs w:val="26"/>
          <w:lang w:eastAsia="en-US"/>
        </w:rPr>
        <w:t xml:space="preserve">  </w:t>
      </w:r>
      <w:r w:rsidRPr="007D366E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 </w:t>
      </w:r>
    </w:p>
    <w:p w:rsidR="007D366E" w:rsidRPr="007D366E" w:rsidRDefault="007D366E" w:rsidP="007D366E">
      <w:pPr>
        <w:numPr>
          <w:ilvl w:val="0"/>
          <w:numId w:val="33"/>
        </w:numPr>
        <w:spacing w:after="200" w:line="276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7D366E">
        <w:rPr>
          <w:bCs/>
          <w:i/>
          <w:iCs/>
          <w:snapToGrid/>
          <w:sz w:val="26"/>
          <w:szCs w:val="26"/>
        </w:rPr>
        <w:t xml:space="preserve">Об отклонении заявки ООО </w:t>
      </w:r>
      <w:r w:rsidRPr="007D366E">
        <w:rPr>
          <w:rFonts w:eastAsiaTheme="minorHAnsi"/>
          <w:i/>
          <w:snapToGrid/>
          <w:sz w:val="26"/>
          <w:szCs w:val="26"/>
          <w:lang w:eastAsia="en-US"/>
        </w:rPr>
        <w:t>«</w:t>
      </w:r>
      <w:proofErr w:type="spellStart"/>
      <w:r w:rsidRPr="007D366E">
        <w:rPr>
          <w:rFonts w:eastAsiaTheme="minorEastAsia"/>
          <w:i/>
          <w:snapToGrid/>
          <w:sz w:val="26"/>
          <w:szCs w:val="26"/>
          <w:lang w:eastAsia="en-US"/>
        </w:rPr>
        <w:t>АрМакс</w:t>
      </w:r>
      <w:proofErr w:type="spellEnd"/>
      <w:r w:rsidRPr="007D366E">
        <w:rPr>
          <w:rFonts w:eastAsiaTheme="minorHAnsi"/>
          <w:i/>
          <w:snapToGrid/>
          <w:sz w:val="26"/>
          <w:szCs w:val="26"/>
          <w:lang w:eastAsia="en-US"/>
        </w:rPr>
        <w:t>»</w:t>
      </w:r>
      <w:r w:rsidRPr="007D366E">
        <w:rPr>
          <w:rFonts w:eastAsiaTheme="minorEastAsia"/>
          <w:snapToGrid/>
          <w:sz w:val="26"/>
          <w:szCs w:val="26"/>
          <w:lang w:eastAsia="en-US"/>
        </w:rPr>
        <w:t xml:space="preserve"> </w:t>
      </w:r>
      <w:r w:rsidRPr="007D366E">
        <w:rPr>
          <w:rFonts w:eastAsiaTheme="minorEastAsia"/>
          <w:i/>
          <w:snapToGrid/>
          <w:sz w:val="26"/>
          <w:szCs w:val="26"/>
          <w:lang w:eastAsia="en-US"/>
        </w:rPr>
        <w:t xml:space="preserve"> </w:t>
      </w:r>
    </w:p>
    <w:p w:rsidR="007D366E" w:rsidRPr="007D366E" w:rsidRDefault="007D366E" w:rsidP="007D366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7D366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D366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D366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D366E" w:rsidRPr="007D366E" w:rsidRDefault="007D366E" w:rsidP="007D366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7D366E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7D366E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7D366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D366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D366E">
        <w:rPr>
          <w:bCs/>
          <w:i/>
          <w:iCs/>
          <w:snapToGrid/>
          <w:sz w:val="26"/>
          <w:szCs w:val="26"/>
        </w:rPr>
        <w:t xml:space="preserve"> заявок</w:t>
      </w:r>
    </w:p>
    <w:p w:rsidR="007D366E" w:rsidRPr="007D366E" w:rsidRDefault="007D366E" w:rsidP="007D366E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7D366E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6141BC" w:rsidRPr="007D366E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7D366E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7D366E">
        <w:rPr>
          <w:b/>
          <w:sz w:val="26"/>
          <w:szCs w:val="26"/>
        </w:rPr>
        <w:t>Р</w:t>
      </w:r>
      <w:r w:rsidR="007A0EBF" w:rsidRPr="007D366E">
        <w:rPr>
          <w:b/>
          <w:sz w:val="26"/>
          <w:szCs w:val="26"/>
        </w:rPr>
        <w:t>ЕШИЛИ:</w:t>
      </w:r>
      <w:r w:rsidRPr="007D366E">
        <w:rPr>
          <w:b/>
          <w:sz w:val="26"/>
          <w:szCs w:val="26"/>
        </w:rPr>
        <w:t xml:space="preserve"> </w:t>
      </w:r>
    </w:p>
    <w:p w:rsidR="00ED714C" w:rsidRPr="007D366E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7D366E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7D366E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7D366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7D366E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7D366E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3118"/>
        <w:gridCol w:w="1418"/>
        <w:gridCol w:w="1417"/>
      </w:tblGrid>
      <w:tr w:rsidR="007D366E" w:rsidRPr="007D366E" w:rsidTr="00405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7D366E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7D366E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</w:tr>
      <w:tr w:rsidR="007D366E" w:rsidRPr="007D366E" w:rsidTr="00405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17.04.2018 05:50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7D366E">
              <w:rPr>
                <w:rFonts w:eastAsiaTheme="minorEastAsia"/>
                <w:snapToGrid/>
                <w:sz w:val="20"/>
              </w:rPr>
              <w:t>ЭнергоПромЗащита</w:t>
            </w:r>
            <w:proofErr w:type="spellEnd"/>
            <w:r w:rsidRPr="007D366E">
              <w:rPr>
                <w:rFonts w:eastAsiaTheme="minorEastAsia"/>
                <w:snapToGrid/>
                <w:sz w:val="20"/>
              </w:rPr>
              <w:t xml:space="preserve">» </w:t>
            </w:r>
            <w:r w:rsidRPr="007D366E">
              <w:rPr>
                <w:rFonts w:eastAsiaTheme="minorEastAsia"/>
                <w:snapToGrid/>
                <w:sz w:val="20"/>
              </w:rPr>
              <w:br/>
              <w:t xml:space="preserve">ИНН/КПП 1655076838/165501001 </w:t>
            </w:r>
            <w:r w:rsidRPr="007D366E">
              <w:rPr>
                <w:rFonts w:eastAsiaTheme="minorEastAsia"/>
                <w:snapToGrid/>
                <w:sz w:val="20"/>
              </w:rPr>
              <w:br/>
              <w:t>ОГРН 1031621022069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1599640.00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1887575.20</w:t>
            </w:r>
          </w:p>
        </w:tc>
      </w:tr>
      <w:tr w:rsidR="007D366E" w:rsidRPr="007D366E" w:rsidTr="00405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19.04.2018 05:43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"НЕВАЭНЕРГОПРОМ" </w:t>
            </w:r>
            <w:r w:rsidRPr="007D366E">
              <w:rPr>
                <w:rFonts w:eastAsiaTheme="minorEastAsia"/>
                <w:snapToGrid/>
                <w:sz w:val="20"/>
              </w:rPr>
              <w:br/>
              <w:t xml:space="preserve">ИНН/КПП 7802536127/780201001 </w:t>
            </w:r>
            <w:r w:rsidRPr="007D366E">
              <w:rPr>
                <w:rFonts w:eastAsiaTheme="minorEastAsia"/>
                <w:snapToGrid/>
                <w:sz w:val="20"/>
              </w:rPr>
              <w:br/>
              <w:t>ОГРН 1157847279259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1812000.00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2138160.00</w:t>
            </w:r>
          </w:p>
        </w:tc>
      </w:tr>
      <w:tr w:rsidR="007D366E" w:rsidRPr="007D366E" w:rsidTr="00405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19.04.2018 07:36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"ВОСТОКЭНЕРГО" </w:t>
            </w:r>
            <w:r w:rsidRPr="007D366E">
              <w:rPr>
                <w:rFonts w:eastAsiaTheme="minorEastAsia"/>
                <w:snapToGrid/>
                <w:sz w:val="20"/>
              </w:rPr>
              <w:br/>
              <w:t xml:space="preserve">ИНН/КПП 2508129512/250801001 </w:t>
            </w:r>
            <w:r w:rsidRPr="007D366E">
              <w:rPr>
                <w:rFonts w:eastAsiaTheme="minorEastAsia"/>
                <w:snapToGrid/>
                <w:sz w:val="20"/>
              </w:rPr>
              <w:br/>
              <w:t>ОГРН 1172536003342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1850000.00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2183000.00</w:t>
            </w:r>
          </w:p>
        </w:tc>
      </w:tr>
      <w:tr w:rsidR="007D366E" w:rsidRPr="007D366E" w:rsidTr="00405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18.04.2018 08:11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"ТД "ЭНЗА" </w:t>
            </w:r>
            <w:r w:rsidRPr="007D366E">
              <w:rPr>
                <w:rFonts w:eastAsiaTheme="minorEastAsia"/>
                <w:snapToGrid/>
                <w:sz w:val="20"/>
              </w:rPr>
              <w:br/>
              <w:t xml:space="preserve">ИНН/КПП 3328496530/332801001 </w:t>
            </w:r>
            <w:r w:rsidRPr="007D366E">
              <w:rPr>
                <w:rFonts w:eastAsiaTheme="minorEastAsia"/>
                <w:snapToGrid/>
                <w:sz w:val="20"/>
              </w:rPr>
              <w:br/>
              <w:t>ОГРН 1143328002619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1483836.24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1750926.76</w:t>
            </w:r>
          </w:p>
        </w:tc>
      </w:tr>
      <w:tr w:rsidR="007D366E" w:rsidRPr="007D366E" w:rsidTr="00405D4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18.04.2018 08:56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7D366E">
              <w:rPr>
                <w:rFonts w:eastAsiaTheme="minorEastAsia"/>
                <w:snapToGrid/>
                <w:sz w:val="20"/>
              </w:rPr>
              <w:t>АрМакс</w:t>
            </w:r>
            <w:proofErr w:type="spellEnd"/>
            <w:r w:rsidRPr="007D366E">
              <w:rPr>
                <w:rFonts w:eastAsiaTheme="minorEastAsia"/>
                <w:snapToGrid/>
                <w:sz w:val="20"/>
              </w:rPr>
              <w:t xml:space="preserve">" </w:t>
            </w:r>
            <w:r w:rsidRPr="007D366E">
              <w:rPr>
                <w:rFonts w:eastAsiaTheme="minorEastAsia"/>
                <w:snapToGrid/>
                <w:sz w:val="20"/>
              </w:rPr>
              <w:br/>
              <w:t xml:space="preserve">ИНН/КПП 5404476796/540401001 </w:t>
            </w:r>
            <w:r w:rsidRPr="007D366E">
              <w:rPr>
                <w:rFonts w:eastAsiaTheme="minorEastAsia"/>
                <w:snapToGrid/>
                <w:sz w:val="20"/>
              </w:rPr>
              <w:br/>
              <w:t>ОГРН 1135476013090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1478505.00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7D366E">
              <w:rPr>
                <w:rFonts w:eastAsiaTheme="minorEastAsia"/>
                <w:snapToGrid/>
                <w:sz w:val="20"/>
              </w:rPr>
              <w:t>1744635.90</w:t>
            </w:r>
          </w:p>
        </w:tc>
      </w:tr>
    </w:tbl>
    <w:p w:rsidR="003E1B5E" w:rsidRPr="00FC17FA" w:rsidRDefault="003E1B5E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7D366E" w:rsidRPr="007D366E" w:rsidRDefault="003E1B5E" w:rsidP="00A72451">
      <w:pPr>
        <w:tabs>
          <w:tab w:val="left" w:pos="993"/>
        </w:tabs>
        <w:suppressAutoHyphens/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7D366E">
        <w:rPr>
          <w:b/>
          <w:bCs/>
          <w:i/>
          <w:iCs/>
          <w:sz w:val="26"/>
          <w:szCs w:val="26"/>
        </w:rPr>
        <w:t xml:space="preserve">ВОПРОС </w:t>
      </w:r>
      <w:r w:rsidR="007D366E" w:rsidRPr="007D366E">
        <w:rPr>
          <w:b/>
          <w:bCs/>
          <w:i/>
          <w:iCs/>
          <w:sz w:val="26"/>
          <w:szCs w:val="26"/>
        </w:rPr>
        <w:t>2</w:t>
      </w:r>
      <w:r w:rsidR="007D366E" w:rsidRPr="007D366E">
        <w:rPr>
          <w:b/>
          <w:sz w:val="26"/>
          <w:szCs w:val="26"/>
        </w:rPr>
        <w:tab/>
        <w:t>«</w:t>
      </w:r>
      <w:r w:rsidR="007D366E" w:rsidRPr="007D366E">
        <w:rPr>
          <w:b/>
          <w:i/>
          <w:sz w:val="26"/>
          <w:szCs w:val="26"/>
        </w:rPr>
        <w:t xml:space="preserve">Об отклонении заявки  </w:t>
      </w:r>
      <w:r w:rsidR="007D366E" w:rsidRPr="007D366E">
        <w:rPr>
          <w:b/>
          <w:bCs/>
          <w:i/>
          <w:iCs/>
          <w:sz w:val="26"/>
          <w:szCs w:val="26"/>
        </w:rPr>
        <w:t>ООО "</w:t>
      </w:r>
      <w:r w:rsidR="007D366E" w:rsidRPr="007D366E">
        <w:rPr>
          <w:rFonts w:eastAsiaTheme="minorEastAsia"/>
          <w:b/>
          <w:i/>
          <w:sz w:val="26"/>
          <w:szCs w:val="26"/>
        </w:rPr>
        <w:t xml:space="preserve"> ТД ЭНЗА </w:t>
      </w:r>
      <w:r w:rsidR="007D366E" w:rsidRPr="007D366E">
        <w:rPr>
          <w:b/>
          <w:bCs/>
          <w:i/>
          <w:iCs/>
          <w:sz w:val="26"/>
          <w:szCs w:val="26"/>
        </w:rPr>
        <w:t>"</w:t>
      </w:r>
    </w:p>
    <w:p w:rsidR="00FC17FA" w:rsidRPr="007D366E" w:rsidRDefault="00A72451" w:rsidP="00A72451">
      <w:pPr>
        <w:tabs>
          <w:tab w:val="left" w:pos="993"/>
        </w:tabs>
        <w:suppressAutoHyphens/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7D366E">
        <w:rPr>
          <w:snapToGrid/>
          <w:sz w:val="26"/>
          <w:szCs w:val="26"/>
        </w:rPr>
        <w:t xml:space="preserve">    </w:t>
      </w:r>
      <w:r w:rsidR="00FC17FA" w:rsidRPr="007D366E">
        <w:rPr>
          <w:snapToGrid/>
          <w:sz w:val="26"/>
          <w:szCs w:val="26"/>
        </w:rPr>
        <w:t>Отклонить заявку Участника</w:t>
      </w:r>
      <w:r w:rsidR="00FC17FA" w:rsidRPr="007D366E">
        <w:rPr>
          <w:b/>
          <w:i/>
          <w:snapToGrid/>
          <w:sz w:val="26"/>
          <w:szCs w:val="26"/>
        </w:rPr>
        <w:t xml:space="preserve"> </w:t>
      </w:r>
      <w:r w:rsidR="007D366E" w:rsidRPr="007D366E">
        <w:rPr>
          <w:b/>
          <w:bCs/>
          <w:i/>
          <w:iCs/>
          <w:sz w:val="26"/>
          <w:szCs w:val="26"/>
        </w:rPr>
        <w:t>ООО "</w:t>
      </w:r>
      <w:r w:rsidR="007D366E" w:rsidRPr="007D366E">
        <w:rPr>
          <w:rFonts w:eastAsiaTheme="minorEastAsia"/>
          <w:b/>
          <w:i/>
          <w:sz w:val="26"/>
          <w:szCs w:val="26"/>
        </w:rPr>
        <w:t xml:space="preserve"> ТД ЭНЗА </w:t>
      </w:r>
      <w:r w:rsidR="007D366E" w:rsidRPr="007D366E">
        <w:rPr>
          <w:b/>
          <w:bCs/>
          <w:i/>
          <w:iCs/>
          <w:sz w:val="26"/>
          <w:szCs w:val="26"/>
        </w:rPr>
        <w:t>"</w:t>
      </w:r>
      <w:r w:rsidR="00FC17FA" w:rsidRPr="007D366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="00875A73" w:rsidRPr="007D366E">
        <w:rPr>
          <w:bCs/>
          <w:iCs/>
          <w:snapToGrid/>
          <w:sz w:val="26"/>
          <w:szCs w:val="26"/>
        </w:rPr>
        <w:t>п. 2.4.2.</w:t>
      </w:r>
      <w:r w:rsidR="007D366E" w:rsidRPr="007D366E">
        <w:rPr>
          <w:bCs/>
          <w:iCs/>
          <w:snapToGrid/>
          <w:sz w:val="26"/>
          <w:szCs w:val="26"/>
        </w:rPr>
        <w:t>4</w:t>
      </w:r>
      <w:r w:rsidR="00875A73" w:rsidRPr="007D366E">
        <w:rPr>
          <w:bCs/>
          <w:iCs/>
          <w:snapToGrid/>
          <w:sz w:val="26"/>
          <w:szCs w:val="26"/>
        </w:rPr>
        <w:t xml:space="preserve"> </w:t>
      </w:r>
      <w:r w:rsidR="007D366E" w:rsidRPr="007D366E">
        <w:rPr>
          <w:bCs/>
          <w:iCs/>
          <w:snapToGrid/>
          <w:sz w:val="26"/>
          <w:szCs w:val="26"/>
        </w:rPr>
        <w:t>б</w:t>
      </w:r>
      <w:r w:rsidR="00875A73" w:rsidRPr="007D366E">
        <w:rPr>
          <w:bCs/>
          <w:iCs/>
          <w:snapToGrid/>
          <w:sz w:val="26"/>
          <w:szCs w:val="26"/>
        </w:rPr>
        <w:t>)</w:t>
      </w:r>
      <w:r w:rsidR="00FC17FA" w:rsidRPr="007D366E">
        <w:rPr>
          <w:bCs/>
          <w:iCs/>
          <w:snapToGrid/>
          <w:sz w:val="26"/>
          <w:szCs w:val="26"/>
        </w:rPr>
        <w:t xml:space="preserve">  </w:t>
      </w:r>
      <w:r w:rsidR="00875A73" w:rsidRPr="007D366E">
        <w:rPr>
          <w:bCs/>
          <w:iCs/>
          <w:snapToGrid/>
          <w:sz w:val="26"/>
          <w:szCs w:val="26"/>
        </w:rPr>
        <w:t>д</w:t>
      </w:r>
      <w:r w:rsidR="00FC17FA" w:rsidRPr="007D366E">
        <w:rPr>
          <w:snapToGrid/>
          <w:sz w:val="26"/>
          <w:szCs w:val="26"/>
          <w:lang w:eastAsia="en-US"/>
        </w:rPr>
        <w:t>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C17FA" w:rsidRPr="007D366E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7FA" w:rsidRPr="007D366E" w:rsidRDefault="00FC17FA" w:rsidP="00FC17FA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D366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FC17FA" w:rsidRPr="007D366E" w:rsidTr="005A4505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6E" w:rsidRPr="007D366E" w:rsidRDefault="007D366E" w:rsidP="007D366E">
            <w:pPr>
              <w:tabs>
                <w:tab w:val="left" w:pos="709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 xml:space="preserve"> Предложенная  участником продукция, не соответствует техническим требованиям Заказчика, а именно:</w:t>
            </w: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«Амурские электрические сети»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proofErr w:type="gramStart"/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 расчета стоимости (стр.2) участником предложен индикатор напряжения, не соответствующий техническим требованиям, указанным в позиции № 2 Приложения 1 к техническому заданию (вместо отвертки индикаторной ИН-91 предложен двухполюсный указатель ПИН 50-1000), при этом в графе 10 «Характеристики» участником приведены характеристики ИН-91, что не соответствует требованиям п.2.5  Технического задания.</w:t>
            </w:r>
            <w:proofErr w:type="gramEnd"/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24 расчета стоимости (стр.46) участником предложен указатель, не соответствующий техническим требованиям, указанным в позиции № 24 Приложения 1 к техническому заданию (вместо указателя Контакт 57Э с диапазоном контролируемых напряжений 70-1000</w:t>
            </w:r>
            <w:proofErr w:type="gramStart"/>
            <w:r w:rsidRPr="007D366E">
              <w:rPr>
                <w:snapToGrid/>
                <w:sz w:val="26"/>
                <w:szCs w:val="26"/>
              </w:rPr>
              <w:t xml:space="preserve"> В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 предложен указатель ЭЛИН-1 СЗ с диапазоном контролируемых напряжений 12-400 В), при этом в графе 10 «Характеристики» участником приведены характеристики Контакт 57Э,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3.</w:t>
            </w:r>
            <w:r w:rsidRPr="007D366E">
              <w:rPr>
                <w:snapToGrid/>
                <w:sz w:val="26"/>
                <w:szCs w:val="26"/>
              </w:rPr>
              <w:tab/>
              <w:t>в позиции № 9, 11, 12, 14, 17, 20 расчета стоимости (стр. 13, 18, 21, 25, 32, 41) участником предлагаются аналоги требуемой продукции, при этом в графе 10 «Характеристики» расчета стоимости по данным позициям участником приведены характеристики и наименования требуемой Заказчику продукции,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«Приморские электрические сети»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6, 7, 14, 17, 22, 29 расчета стоимости (стр. 60, 62, 70, 77, 85, 95) участником предлагаются аналоги требуемой продукции, при этом в графе 10 «Характеристики» расчета стоимости по данным позициям участником приведены характеристики и наименования требуемой Заказчику продукции,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  <w:highlight w:val="yellow"/>
              </w:rPr>
            </w:pPr>
            <w:proofErr w:type="gramStart"/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23 расчета стоимости (стр. 86) участником предложен указатель, не соответствующий техническим требованиям, указанным в позиции № 23 Приложения 2 к техническому заданию (вместо указателя УННУЛ 40-1000 с удлиняющим электродом для проверки наличия/отсутствия напряжения на ВЛЭП предложен указатель УННУ-1 без удлиняющих электродов), при этом в графе 10 «Характеристики» участником приведены характеристики УВНФ-10СЗ, что не соответствует требованиям п.2.5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. </w:t>
            </w:r>
            <w:r w:rsidRPr="007D366E">
              <w:rPr>
                <w:snapToGrid/>
                <w:sz w:val="26"/>
                <w:szCs w:val="26"/>
              </w:rPr>
              <w:lastRenderedPageBreak/>
              <w:t>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proofErr w:type="gramStart"/>
            <w:r w:rsidRPr="007D366E">
              <w:rPr>
                <w:snapToGrid/>
                <w:sz w:val="26"/>
                <w:szCs w:val="26"/>
              </w:rPr>
              <w:t>3.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24 расчета стоимости (стр. 89) участником предложен указатель, не соответствующий техническим требованиям, указанным в позиции № 24 Приложения 2 к техническому заданию (вместо однополюсного указателя УВНФ-10 СЗ предложен двухполюсный указатель УВНУ-10 СЗ ТФ), при этом в графе 10 «Характеристики» участником приведены характеристики УННУ-1Н, что не соответствует требованиям п.2.5.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  <w:highlight w:val="yellow"/>
              </w:rPr>
            </w:pPr>
            <w:r w:rsidRPr="007D366E">
              <w:rPr>
                <w:snapToGrid/>
                <w:sz w:val="26"/>
                <w:szCs w:val="26"/>
              </w:rPr>
              <w:t>4.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26 расчета стоимости (стр. 91) участником предложен указатель, не соответствующий техническим требованиям, указанным в позиции № 26 Приложения 2 к техническому заданию (вместо указателя Контакт 57Э с диапазоном контролируемых напряжений 70-1000</w:t>
            </w:r>
            <w:proofErr w:type="gramStart"/>
            <w:r w:rsidRPr="007D366E">
              <w:rPr>
                <w:snapToGrid/>
                <w:sz w:val="26"/>
                <w:szCs w:val="26"/>
              </w:rPr>
              <w:t xml:space="preserve"> В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 предложен указатель ЭЛИН-1 СЗ с диапазоном контролируемых напряжений 12-400 В), при этом в графе 10 «Характеристики» участником приведены характеристики Контакт-57,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 xml:space="preserve">Филиал АО «ДРСК» «Хабаровские электрические сети» СП ЦЭС 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4, 5, 13, 15 расчета стоимости (стр. 103, 108, 122, 125) участником предлагаются аналоги требуемой продукции, при этом в графе 10 «Характеристики» расчета стоимости по данным позициям участником приведены характеристики и наименования требуемой Заказчику продукции,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proofErr w:type="gramStart"/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 xml:space="preserve">в позиции № 12 расчета стоимости (стр. 120) участником предложен указатель, не соответствующий техническим требованиям, указанным в позиции № 12 Приложения 3 к техническому заданию (вместо указателя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Экивольта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35-110К для проверки наличия/отсутствия напряжения на электроустановках переменного тока напряжением от 35 до 110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предложен указатель УВН-35 СЗ КБ для проверки наличия/отсутствия напряжения на электроустановках переменного тока напряжением 35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proofErr w:type="gramEnd"/>
            <w:r w:rsidRPr="007D366E">
              <w:rPr>
                <w:snapToGrid/>
                <w:sz w:val="26"/>
                <w:szCs w:val="26"/>
              </w:rPr>
              <w:t xml:space="preserve">), при этом в графе 10 «Характеристики» участником приведены характеристики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Экивольта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35-110К,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  <w:highlight w:val="yellow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«Хабаровские электрические сети» СП СЭС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2, 3, 5, 11, 13, 14, 16 расчета стоимости (стр. 134, 135, 137, 147, 149, 150, 154) участником предлагаются аналоги требуемой продукции, при этом в графе 10 «Характеристики» расчета стоимости по данным позициям участником приведены характеристики и наименования требуемой Заказчику продукции,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>в позиции № 6 расчета стоимости (стр. 139) участником предложен указатель, не соответствующий техническим требованиям, указанным в позиции № 6 Приложения 4 к техническому заданию (вместо однополюсного указателя УННО-1 предложен двухполюсный указатель ПИН 50-1000), при этом в графе 10 «Характеристики» участником приведены характеристики УННО-1,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  <w:highlight w:val="yellow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 xml:space="preserve">Филиал АО «ДРСК» «Электрические сети ЕАО» 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2, 4, 6 расчета стоимости (стр. 163, 164, 167) участником предлагаются аналоги требуемой продукции, при этом в графе 10 «Характеристики» расчета стоимости по данным позициям участником приведены характеристики и наименования требуемой Заказчику продукции, что не соответствует требованиям п.2.5. Технического задания.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proofErr w:type="gramStart"/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 xml:space="preserve">в позиции № 9 расчета стоимости (стр. 178) участником предложен указатель, не </w:t>
            </w:r>
            <w:r w:rsidRPr="007D366E">
              <w:rPr>
                <w:snapToGrid/>
                <w:sz w:val="26"/>
                <w:szCs w:val="26"/>
              </w:rPr>
              <w:lastRenderedPageBreak/>
              <w:t>соответствующий техническим требованиям, указанным в поз. № 9 Приложения 5 к техническому заданию (вместо однополюсного указателя УВНФ-10 СЗ предложен двухполюсный указатель УВНУ-10 СЗ ТФ), при этом в графе 10 «Характеристики» участником приведены характеристики УВНФ-10 СЗ, что не соответствует требованиям п.2.5.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 Технического задания.</w:t>
            </w:r>
          </w:p>
          <w:p w:rsidR="00FC17FA" w:rsidRPr="007D366E" w:rsidRDefault="007D366E" w:rsidP="007D366E">
            <w:pPr>
              <w:tabs>
                <w:tab w:val="left" w:pos="851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 xml:space="preserve">       3.</w:t>
            </w:r>
            <w:r w:rsidRPr="007D366E">
              <w:rPr>
                <w:snapToGrid/>
                <w:sz w:val="26"/>
                <w:szCs w:val="26"/>
              </w:rPr>
              <w:tab/>
              <w:t>в позиции № 11 расчета стоимости (стр. 182) участником предложен указатель, не соответствующий техническим требованиям, указанным в позиции № 11 Приложения 5 к техническому заданию (вместо однополюсного указателя УННО-25-1000 предложен двухполюсный указатель ПИН 50-1000).</w:t>
            </w:r>
          </w:p>
        </w:tc>
      </w:tr>
    </w:tbl>
    <w:p w:rsidR="003E1B5E" w:rsidRPr="007D366E" w:rsidRDefault="003E1B5E" w:rsidP="003E1B5E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</w:p>
    <w:p w:rsidR="007D366E" w:rsidRPr="007D366E" w:rsidRDefault="002E0302" w:rsidP="007D366E">
      <w:pPr>
        <w:tabs>
          <w:tab w:val="left" w:pos="426"/>
          <w:tab w:val="right" w:pos="9360"/>
        </w:tabs>
        <w:spacing w:line="240" w:lineRule="auto"/>
        <w:ind w:firstLine="0"/>
        <w:rPr>
          <w:rFonts w:eastAsiaTheme="minorEastAsia"/>
          <w:b/>
          <w:snapToGrid/>
          <w:sz w:val="26"/>
          <w:szCs w:val="26"/>
          <w:lang w:eastAsia="en-US"/>
        </w:rPr>
      </w:pPr>
      <w:r w:rsidRPr="007D366E">
        <w:rPr>
          <w:b/>
          <w:bCs/>
          <w:i/>
          <w:iCs/>
          <w:sz w:val="26"/>
          <w:szCs w:val="26"/>
        </w:rPr>
        <w:t>ВОПРОС 3</w:t>
      </w:r>
      <w:r w:rsidR="007D366E" w:rsidRPr="007D366E">
        <w:rPr>
          <w:b/>
          <w:bCs/>
          <w:i/>
          <w:iCs/>
          <w:sz w:val="26"/>
          <w:szCs w:val="26"/>
        </w:rPr>
        <w:t xml:space="preserve"> </w:t>
      </w:r>
      <w:r w:rsidRPr="007D366E">
        <w:rPr>
          <w:b/>
          <w:sz w:val="26"/>
          <w:szCs w:val="26"/>
        </w:rPr>
        <w:t>«</w:t>
      </w:r>
      <w:r w:rsidRPr="007D366E">
        <w:rPr>
          <w:b/>
          <w:i/>
          <w:sz w:val="26"/>
          <w:szCs w:val="26"/>
        </w:rPr>
        <w:t xml:space="preserve">Об отклонении заявки </w:t>
      </w:r>
      <w:r w:rsidR="007D366E" w:rsidRPr="007D366E">
        <w:rPr>
          <w:b/>
          <w:bCs/>
          <w:i/>
          <w:iCs/>
          <w:snapToGrid/>
          <w:sz w:val="26"/>
          <w:szCs w:val="26"/>
        </w:rPr>
        <w:t xml:space="preserve">ООО </w:t>
      </w:r>
      <w:r w:rsidR="007D366E" w:rsidRPr="007D366E">
        <w:rPr>
          <w:rFonts w:eastAsiaTheme="minorHAnsi"/>
          <w:b/>
          <w:i/>
          <w:snapToGrid/>
          <w:sz w:val="26"/>
          <w:szCs w:val="26"/>
          <w:lang w:eastAsia="en-US"/>
        </w:rPr>
        <w:t>«</w:t>
      </w:r>
      <w:proofErr w:type="spellStart"/>
      <w:r w:rsidR="007D366E" w:rsidRPr="007D366E">
        <w:rPr>
          <w:rFonts w:eastAsiaTheme="minorEastAsia"/>
          <w:b/>
          <w:i/>
          <w:snapToGrid/>
          <w:sz w:val="26"/>
          <w:szCs w:val="26"/>
          <w:lang w:eastAsia="en-US"/>
        </w:rPr>
        <w:t>АрМакс</w:t>
      </w:r>
      <w:proofErr w:type="spellEnd"/>
      <w:r w:rsidR="007D366E" w:rsidRPr="007D366E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="007D366E" w:rsidRPr="007D366E">
        <w:rPr>
          <w:rFonts w:eastAsiaTheme="minorEastAsia"/>
          <w:b/>
          <w:snapToGrid/>
          <w:sz w:val="26"/>
          <w:szCs w:val="26"/>
          <w:lang w:eastAsia="en-US"/>
        </w:rPr>
        <w:t xml:space="preserve"> </w:t>
      </w:r>
    </w:p>
    <w:p w:rsidR="007D366E" w:rsidRPr="007D366E" w:rsidRDefault="007D366E" w:rsidP="007D366E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7D366E">
        <w:rPr>
          <w:snapToGrid/>
          <w:sz w:val="26"/>
          <w:szCs w:val="26"/>
        </w:rPr>
        <w:t>Отклонить заявку Участника</w:t>
      </w:r>
      <w:r w:rsidRPr="007D366E">
        <w:rPr>
          <w:b/>
          <w:i/>
          <w:snapToGrid/>
          <w:sz w:val="26"/>
          <w:szCs w:val="26"/>
        </w:rPr>
        <w:t xml:space="preserve"> </w:t>
      </w:r>
      <w:r w:rsidRPr="007D366E">
        <w:rPr>
          <w:b/>
          <w:bCs/>
          <w:i/>
          <w:iCs/>
          <w:snapToGrid/>
          <w:sz w:val="26"/>
          <w:szCs w:val="26"/>
        </w:rPr>
        <w:t xml:space="preserve">ООО </w:t>
      </w:r>
      <w:r w:rsidRPr="007D366E">
        <w:rPr>
          <w:rFonts w:eastAsiaTheme="minorHAnsi"/>
          <w:b/>
          <w:i/>
          <w:snapToGrid/>
          <w:sz w:val="26"/>
          <w:szCs w:val="26"/>
          <w:lang w:eastAsia="en-US"/>
        </w:rPr>
        <w:t>«</w:t>
      </w:r>
      <w:proofErr w:type="spellStart"/>
      <w:r w:rsidRPr="007D366E">
        <w:rPr>
          <w:rFonts w:eastAsiaTheme="minorEastAsia"/>
          <w:b/>
          <w:i/>
          <w:snapToGrid/>
          <w:sz w:val="26"/>
          <w:szCs w:val="26"/>
          <w:lang w:eastAsia="en-US"/>
        </w:rPr>
        <w:t>АрМакс</w:t>
      </w:r>
      <w:proofErr w:type="spellEnd"/>
      <w:r w:rsidRPr="007D366E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 w:rsidRPr="007D366E">
        <w:rPr>
          <w:rFonts w:eastAsiaTheme="minorEastAsia"/>
          <w:b/>
          <w:snapToGrid/>
          <w:sz w:val="26"/>
          <w:szCs w:val="26"/>
          <w:lang w:eastAsia="en-US"/>
        </w:rPr>
        <w:t xml:space="preserve"> </w:t>
      </w:r>
      <w:r w:rsidRPr="007D366E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7D366E">
        <w:rPr>
          <w:bCs/>
          <w:iCs/>
          <w:snapToGrid/>
          <w:sz w:val="26"/>
          <w:szCs w:val="26"/>
        </w:rPr>
        <w:t xml:space="preserve">п. 2.4.2.4 б)  </w:t>
      </w:r>
      <w:r w:rsidRPr="007D366E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7D366E" w:rsidRPr="007D366E" w:rsidTr="00405D4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6E" w:rsidRPr="007D366E" w:rsidRDefault="007D366E" w:rsidP="007D366E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7D366E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7D366E" w:rsidRPr="007D366E" w:rsidTr="00405D48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6E" w:rsidRPr="007D366E" w:rsidRDefault="007D366E" w:rsidP="007D366E">
            <w:pPr>
              <w:tabs>
                <w:tab w:val="left" w:pos="709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Выявленные несоответствия техническим требованиям Заказчика, а именно:</w:t>
            </w:r>
          </w:p>
          <w:p w:rsidR="007D366E" w:rsidRPr="007D366E" w:rsidRDefault="007D366E" w:rsidP="007D366E">
            <w:pPr>
              <w:tabs>
                <w:tab w:val="left" w:pos="0"/>
                <w:tab w:val="left" w:pos="284"/>
                <w:tab w:val="left" w:pos="851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proofErr w:type="gramStart"/>
            <w:r w:rsidRPr="007D366E">
              <w:rPr>
                <w:snapToGrid/>
                <w:sz w:val="26"/>
                <w:szCs w:val="26"/>
              </w:rPr>
              <w:t>1.В техническом предложении и сводной таблице стоимости поставляемой продукции (Приложения 1 и 3 к письму о подаче оферты от 17.04.2018 № 389/18) участником не указаны технические характеристики предлагаемой продукции (техническое описание конструктивного исполнения), что не позволяет определить возможность применения предлагаемой продукции и не соответствует условиям п.1.1. и п.2.5. технического задания;</w:t>
            </w:r>
            <w:proofErr w:type="gramEnd"/>
          </w:p>
          <w:p w:rsidR="007D366E" w:rsidRPr="007D366E" w:rsidRDefault="007D366E" w:rsidP="007D366E">
            <w:pPr>
              <w:tabs>
                <w:tab w:val="left" w:pos="0"/>
                <w:tab w:val="left" w:pos="284"/>
                <w:tab w:val="left" w:pos="851"/>
              </w:tabs>
              <w:spacing w:line="240" w:lineRule="auto"/>
              <w:ind w:right="-1" w:firstLine="0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 Предложенная  участником продукция, не соответствует техническим требованиям Заказчика, а именно:</w:t>
            </w:r>
          </w:p>
          <w:p w:rsidR="007D366E" w:rsidRPr="007D366E" w:rsidRDefault="007D366E" w:rsidP="007D366E">
            <w:pPr>
              <w:spacing w:line="240" w:lineRule="auto"/>
              <w:ind w:right="-1" w:firstLine="0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«Амурские электрические сети» (п.1.1. технического предложения)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12 технического предложения участником предложен указатель, не соответствующий техническим требованиям, указанным в позиции № 12 Приложения 1 к техническому заданию (вместо однополюсного указателя УННО-1 предложен двухполюсный указатель УННУ-1Э).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 xml:space="preserve">в позиции № 20 технического предложения участником предложен указатель, не соответствующий техническим требованиям, указанным в </w:t>
            </w:r>
            <w:proofErr w:type="spellStart"/>
            <w:proofErr w:type="gramStart"/>
            <w:r w:rsidRPr="007D366E">
              <w:rPr>
                <w:snapToGrid/>
                <w:sz w:val="26"/>
                <w:szCs w:val="26"/>
              </w:rPr>
              <w:t>в</w:t>
            </w:r>
            <w:proofErr w:type="spellEnd"/>
            <w:proofErr w:type="gramEnd"/>
            <w:r w:rsidRPr="007D366E">
              <w:rPr>
                <w:snapToGrid/>
                <w:sz w:val="26"/>
                <w:szCs w:val="26"/>
              </w:rPr>
              <w:t xml:space="preserve"> позиции № 20 Приложения 1 к техническому заданию (вместо указателя УВН-90М-110С с контролируемыми напряжениями 35 и 110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и напряжением индикации 8,75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предложен УВН-110Э СЗ с контролируемым напряжением 110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и напряжением индикации 27,5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>).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«Приморские электрические сети» (п.1.2. технического предложения)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22 технического предложения участником предложен указатель, не соответствующий техническим требованиям, указанным в позиции № 22 Приложения 2 к техническому заданию (вместо однополюсного указателя УВНФ-10 СЗ предложен двухполюсный указатель УВНФ 6-10 СЗ).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>в позиции № 28 технического предложения участником предложен указатель, не соответствующий техническим требованиям, указанным в позиции № 28 Приложения 2 к техническому заданию (вместо однополюсного указателя УННО 25-1000 предложен двухполюсный указатель УННУ-1Э В).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«Хабаровские электрические сети» СП Сев</w:t>
            </w:r>
            <w:proofErr w:type="gramStart"/>
            <w:r w:rsidRPr="007D366E">
              <w:rPr>
                <w:snapToGrid/>
                <w:sz w:val="26"/>
                <w:szCs w:val="26"/>
                <w:u w:val="single"/>
              </w:rPr>
              <w:t>.</w:t>
            </w:r>
            <w:proofErr w:type="gramEnd"/>
            <w:r w:rsidRPr="007D366E">
              <w:rPr>
                <w:snapToGrid/>
                <w:sz w:val="26"/>
                <w:szCs w:val="26"/>
                <w:u w:val="single"/>
              </w:rPr>
              <w:t xml:space="preserve"> (</w:t>
            </w:r>
            <w:proofErr w:type="gramStart"/>
            <w:r w:rsidRPr="007D366E">
              <w:rPr>
                <w:snapToGrid/>
                <w:sz w:val="26"/>
                <w:szCs w:val="26"/>
                <w:u w:val="single"/>
              </w:rPr>
              <w:t>п</w:t>
            </w:r>
            <w:proofErr w:type="gramEnd"/>
            <w:r w:rsidRPr="007D366E">
              <w:rPr>
                <w:snapToGrid/>
                <w:sz w:val="26"/>
                <w:szCs w:val="26"/>
                <w:u w:val="single"/>
              </w:rPr>
              <w:t>.1.4. технического предложения)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 xml:space="preserve">в позиции № 11 технического предложения участником предложен указатель, не соответствующий техническим требованиям, указанным в позиции № 11 Приложения 4 к техническому заданию (вместо указателя УВН-90М-110С с контролируемыми </w:t>
            </w:r>
            <w:r w:rsidRPr="007D366E">
              <w:rPr>
                <w:snapToGrid/>
                <w:sz w:val="26"/>
                <w:szCs w:val="26"/>
              </w:rPr>
              <w:lastRenderedPageBreak/>
              <w:t xml:space="preserve">напряжениями 35 и 110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и напряжением индикации 8,75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предложен УВН-110Э СЗ с контролируемым напряжением 110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и напряжением индикации 27,5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>).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>в позиции № 14 технического предложения участником предложен указатель, не соответствующий техническим требованиям, указанным в позиции № 14 Приложения 4 к техническому заданию (вместо однополюсного указателя УВНФ-10 СЗ предложен двухполюсный указатель УВНФ 6-10 СЗ).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</w:p>
          <w:p w:rsidR="007D366E" w:rsidRPr="007D366E" w:rsidRDefault="007D366E" w:rsidP="007D366E">
            <w:pPr>
              <w:spacing w:line="240" w:lineRule="auto"/>
              <w:ind w:right="-1"/>
              <w:rPr>
                <w:snapToGrid/>
                <w:sz w:val="26"/>
                <w:szCs w:val="26"/>
                <w:u w:val="single"/>
              </w:rPr>
            </w:pPr>
            <w:r w:rsidRPr="007D366E">
              <w:rPr>
                <w:snapToGrid/>
                <w:sz w:val="26"/>
                <w:szCs w:val="26"/>
                <w:u w:val="single"/>
              </w:rPr>
              <w:t>Филиал АО «ДРСК» «Электрические сети ЕАО» (п.1.5. технического предложения)</w:t>
            </w:r>
          </w:p>
          <w:p w:rsidR="007D366E" w:rsidRPr="007D366E" w:rsidRDefault="007D366E" w:rsidP="007D366E">
            <w:pPr>
              <w:tabs>
                <w:tab w:val="left" w:pos="851"/>
              </w:tabs>
              <w:spacing w:line="240" w:lineRule="auto"/>
              <w:ind w:right="-1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1.</w:t>
            </w:r>
            <w:r w:rsidRPr="007D366E">
              <w:rPr>
                <w:snapToGrid/>
                <w:sz w:val="26"/>
                <w:szCs w:val="26"/>
              </w:rPr>
              <w:tab/>
              <w:t xml:space="preserve">в позиции № 8 технического предложения участником предложен указатель, не соответствующий техническим требованиям, указанным </w:t>
            </w:r>
            <w:proofErr w:type="gramStart"/>
            <w:r w:rsidRPr="007D366E">
              <w:rPr>
                <w:snapToGrid/>
                <w:sz w:val="26"/>
                <w:szCs w:val="26"/>
              </w:rPr>
              <w:t>в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 </w:t>
            </w:r>
            <w:proofErr w:type="gramStart"/>
            <w:r w:rsidRPr="007D366E">
              <w:rPr>
                <w:snapToGrid/>
                <w:sz w:val="26"/>
                <w:szCs w:val="26"/>
              </w:rPr>
              <w:t>поз</w:t>
            </w:r>
            <w:proofErr w:type="gramEnd"/>
            <w:r w:rsidRPr="007D366E">
              <w:rPr>
                <w:snapToGrid/>
                <w:sz w:val="26"/>
                <w:szCs w:val="26"/>
              </w:rPr>
              <w:t xml:space="preserve">. № 8 Приложения 5 к техническому заданию (вместо указателя высокого напряжения УВНУ-10СЗ ИП КБ с контролируемым напряжением до 10 </w:t>
            </w:r>
            <w:proofErr w:type="spellStart"/>
            <w:r w:rsidRPr="007D366E">
              <w:rPr>
                <w:snapToGrid/>
                <w:sz w:val="26"/>
                <w:szCs w:val="26"/>
              </w:rPr>
              <w:t>кВ</w:t>
            </w:r>
            <w:proofErr w:type="spellEnd"/>
            <w:r w:rsidRPr="007D366E">
              <w:rPr>
                <w:snapToGrid/>
                <w:sz w:val="26"/>
                <w:szCs w:val="26"/>
              </w:rPr>
              <w:t xml:space="preserve"> предложен указатель низкого напряжения УНК 12-380 с контролируемым напряжением 12-380 В).</w:t>
            </w:r>
          </w:p>
          <w:p w:rsidR="007D366E" w:rsidRPr="007D366E" w:rsidRDefault="007D366E" w:rsidP="007D366E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7D366E">
              <w:rPr>
                <w:snapToGrid/>
                <w:sz w:val="26"/>
                <w:szCs w:val="26"/>
              </w:rPr>
              <w:t>2.</w:t>
            </w:r>
            <w:r w:rsidRPr="007D366E">
              <w:rPr>
                <w:snapToGrid/>
                <w:sz w:val="26"/>
                <w:szCs w:val="26"/>
              </w:rPr>
              <w:tab/>
              <w:t>в позиции № 9 технического предложения участником предложен указатель, не соответствующий техническим требованиям, указанным в позиции № 9 Приложения 5 к техническому заданию (вместо однополюсного указателя УВНФ-10 СЗ предложен двухполюсный указатель УВНФ 6-10 СЗ).</w:t>
            </w:r>
          </w:p>
        </w:tc>
      </w:tr>
    </w:tbl>
    <w:p w:rsidR="002E0302" w:rsidRPr="007D366E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A72451" w:rsidRPr="007D366E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D366E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7D366E" w:rsidRPr="007D366E">
        <w:rPr>
          <w:b/>
          <w:bCs/>
          <w:i/>
          <w:iCs/>
          <w:snapToGrid/>
          <w:sz w:val="26"/>
          <w:szCs w:val="26"/>
        </w:rPr>
        <w:t>4</w:t>
      </w:r>
      <w:r w:rsidRPr="007D366E">
        <w:rPr>
          <w:b/>
          <w:bCs/>
          <w:i/>
          <w:iCs/>
          <w:snapToGrid/>
          <w:sz w:val="26"/>
          <w:szCs w:val="26"/>
        </w:rPr>
        <w:t xml:space="preserve">  «О признании заявок </w:t>
      </w:r>
      <w:proofErr w:type="gramStart"/>
      <w:r w:rsidRPr="007D366E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D366E">
        <w:rPr>
          <w:b/>
          <w:bCs/>
          <w:i/>
          <w:iCs/>
          <w:snapToGrid/>
          <w:sz w:val="26"/>
          <w:szCs w:val="26"/>
        </w:rPr>
        <w:t xml:space="preserve">  условиям Документации о закупке»</w:t>
      </w:r>
    </w:p>
    <w:p w:rsidR="00A72451" w:rsidRPr="007D366E" w:rsidRDefault="00A72451" w:rsidP="00A72451">
      <w:pPr>
        <w:spacing w:line="240" w:lineRule="auto"/>
        <w:ind w:firstLine="0"/>
        <w:rPr>
          <w:snapToGrid/>
          <w:sz w:val="26"/>
          <w:szCs w:val="26"/>
        </w:rPr>
      </w:pPr>
      <w:r w:rsidRPr="007D366E">
        <w:rPr>
          <w:b/>
          <w:sz w:val="26"/>
          <w:szCs w:val="26"/>
        </w:rPr>
        <w:t xml:space="preserve">     Признать</w:t>
      </w:r>
      <w:r w:rsidRPr="007D366E">
        <w:rPr>
          <w:sz w:val="26"/>
          <w:szCs w:val="26"/>
        </w:rPr>
        <w:t xml:space="preserve"> заявки </w:t>
      </w:r>
      <w:r w:rsidR="007D366E" w:rsidRPr="007D366E">
        <w:rPr>
          <w:rFonts w:eastAsiaTheme="minorEastAsia"/>
          <w:b/>
          <w:i/>
          <w:sz w:val="26"/>
          <w:szCs w:val="26"/>
        </w:rPr>
        <w:t>ООО  «</w:t>
      </w:r>
      <w:proofErr w:type="spellStart"/>
      <w:r w:rsidR="007D366E" w:rsidRPr="007D366E">
        <w:rPr>
          <w:rFonts w:eastAsiaTheme="minorEastAsia"/>
          <w:b/>
          <w:i/>
          <w:sz w:val="26"/>
          <w:szCs w:val="26"/>
        </w:rPr>
        <w:t>ЭнергоПромЗащита</w:t>
      </w:r>
      <w:proofErr w:type="spellEnd"/>
      <w:r w:rsidR="007D366E" w:rsidRPr="007D366E">
        <w:rPr>
          <w:rFonts w:eastAsiaTheme="minorEastAsia"/>
          <w:b/>
          <w:i/>
          <w:sz w:val="26"/>
          <w:szCs w:val="26"/>
        </w:rPr>
        <w:t xml:space="preserve">»,  ООО «НЕВАЭНЕРГОПРОМ», ООО </w:t>
      </w:r>
      <w:r w:rsidR="007D366E" w:rsidRPr="007D366E">
        <w:rPr>
          <w:b/>
          <w:i/>
          <w:sz w:val="26"/>
          <w:szCs w:val="26"/>
        </w:rPr>
        <w:t>«</w:t>
      </w:r>
      <w:r w:rsidR="007D366E" w:rsidRPr="007D366E">
        <w:rPr>
          <w:rFonts w:eastAsiaTheme="minorEastAsia"/>
          <w:b/>
          <w:i/>
          <w:sz w:val="26"/>
          <w:szCs w:val="26"/>
        </w:rPr>
        <w:t>ВОСТОКЭНЕРГО</w:t>
      </w:r>
      <w:r w:rsidR="007D366E" w:rsidRPr="007D366E">
        <w:rPr>
          <w:b/>
          <w:i/>
          <w:sz w:val="26"/>
          <w:szCs w:val="26"/>
        </w:rPr>
        <w:t xml:space="preserve">» </w:t>
      </w:r>
      <w:r w:rsidRPr="007D366E">
        <w:rPr>
          <w:snapToGrid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A72451" w:rsidRPr="007D366E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A72451" w:rsidRPr="007D366E" w:rsidRDefault="00A72451" w:rsidP="00A7245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7D366E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7D366E" w:rsidRPr="007D366E">
        <w:rPr>
          <w:b/>
          <w:bCs/>
          <w:i/>
          <w:iCs/>
          <w:snapToGrid/>
          <w:sz w:val="26"/>
          <w:szCs w:val="26"/>
        </w:rPr>
        <w:t>5</w:t>
      </w:r>
      <w:r w:rsidRPr="007D366E">
        <w:rPr>
          <w:b/>
          <w:bCs/>
          <w:i/>
          <w:iCs/>
          <w:snapToGrid/>
          <w:sz w:val="26"/>
          <w:szCs w:val="26"/>
        </w:rPr>
        <w:t xml:space="preserve">  «Об </w:t>
      </w:r>
      <w:proofErr w:type="gramStart"/>
      <w:r w:rsidRPr="007D366E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7D366E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D366E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7D366E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7D366E" w:rsidRPr="007D366E" w:rsidRDefault="007D366E" w:rsidP="007D366E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7D366E">
        <w:rPr>
          <w:sz w:val="26"/>
          <w:szCs w:val="26"/>
        </w:rPr>
        <w:t xml:space="preserve">Утвердить </w:t>
      </w:r>
      <w:proofErr w:type="gramStart"/>
      <w:r w:rsidRPr="007D366E">
        <w:rPr>
          <w:sz w:val="26"/>
          <w:szCs w:val="26"/>
        </w:rPr>
        <w:t>итоговую</w:t>
      </w:r>
      <w:proofErr w:type="gramEnd"/>
      <w:r w:rsidRPr="007D366E">
        <w:rPr>
          <w:sz w:val="26"/>
          <w:szCs w:val="26"/>
        </w:rPr>
        <w:t xml:space="preserve"> </w:t>
      </w:r>
      <w:proofErr w:type="spellStart"/>
      <w:r w:rsidRPr="007D366E">
        <w:rPr>
          <w:sz w:val="26"/>
          <w:szCs w:val="26"/>
        </w:rPr>
        <w:t>ранжировку</w:t>
      </w:r>
      <w:proofErr w:type="spellEnd"/>
      <w:r w:rsidRPr="007D366E">
        <w:rPr>
          <w:sz w:val="26"/>
          <w:szCs w:val="26"/>
        </w:rPr>
        <w:t xml:space="preserve"> заявок:</w:t>
      </w:r>
    </w:p>
    <w:tbl>
      <w:tblPr>
        <w:tblW w:w="99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4110"/>
        <w:gridCol w:w="1560"/>
        <w:gridCol w:w="1701"/>
        <w:gridCol w:w="1558"/>
      </w:tblGrid>
      <w:tr w:rsidR="007D366E" w:rsidRPr="007D366E" w:rsidTr="00405D48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7D366E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D366E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7D366E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 (в соответствии с ПП 925)</w:t>
            </w:r>
          </w:p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7D366E" w:rsidRPr="007D366E" w:rsidTr="00405D48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7D366E">
              <w:rPr>
                <w:bCs/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«</w:t>
            </w:r>
            <w:proofErr w:type="spellStart"/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ЭнергоПромЗащита</w:t>
            </w:r>
            <w:proofErr w:type="spellEnd"/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»</w:t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 </w:t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 xml:space="preserve">ИНН/КПП 1655076838/165501001 </w:t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1031621022069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>1 599 640.00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spacing w:after="200" w:line="240" w:lineRule="auto"/>
              <w:ind w:firstLine="0"/>
              <w:contextualSpacing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4"/>
                <w:szCs w:val="24"/>
                <w:lang w:eastAsia="en-US"/>
              </w:rPr>
            </w:pPr>
            <w:r w:rsidRPr="007D366E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7D366E" w:rsidRPr="007D366E" w:rsidTr="00405D4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7D366E">
              <w:rPr>
                <w:bCs/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"НЕВАЭНЕРГОПРОМ" </w:t>
            </w:r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br/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7802536127/780201001 </w:t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1157847279259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>1 812 000.00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D366E">
              <w:rPr>
                <w:bCs/>
                <w:snapToGrid/>
                <w:sz w:val="24"/>
                <w:szCs w:val="24"/>
              </w:rPr>
              <w:t>нет</w:t>
            </w:r>
          </w:p>
        </w:tc>
      </w:tr>
      <w:tr w:rsidR="007D366E" w:rsidRPr="007D366E" w:rsidTr="00405D48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Cs/>
                <w:snapToGrid/>
                <w:sz w:val="24"/>
                <w:szCs w:val="24"/>
              </w:rPr>
            </w:pPr>
            <w:r w:rsidRPr="007D366E">
              <w:rPr>
                <w:bCs/>
                <w:snapToGrid/>
                <w:sz w:val="24"/>
                <w:szCs w:val="24"/>
              </w:rPr>
              <w:t>3 место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Общество с ограниченной ответственностью "ВОСТОКЭНЕРГО" </w:t>
            </w:r>
            <w:r w:rsidRPr="007D366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br/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 xml:space="preserve">ИНН/КПП 2508129512/250801001 </w:t>
            </w: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br/>
              <w:t>ОГРН 1172536003342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>1 850 000.00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D366E">
              <w:rPr>
                <w:rFonts w:eastAsiaTheme="minorEastAsia"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D366E" w:rsidRPr="007D366E" w:rsidRDefault="007D366E" w:rsidP="007D366E">
            <w:pPr>
              <w:spacing w:after="200" w:line="276" w:lineRule="auto"/>
              <w:ind w:firstLine="0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7D366E">
              <w:rPr>
                <w:bCs/>
                <w:snapToGrid/>
                <w:sz w:val="24"/>
                <w:szCs w:val="24"/>
              </w:rPr>
              <w:t>нет</w:t>
            </w:r>
          </w:p>
        </w:tc>
      </w:tr>
    </w:tbl>
    <w:p w:rsidR="002E0302" w:rsidRDefault="002E0302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2E0302" w:rsidRDefault="00A72451" w:rsidP="0080107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7D366E">
        <w:rPr>
          <w:b/>
          <w:bCs/>
          <w:i/>
          <w:iCs/>
          <w:sz w:val="26"/>
          <w:szCs w:val="26"/>
        </w:rPr>
        <w:t>5</w:t>
      </w:r>
      <w:r w:rsidRPr="00567700">
        <w:rPr>
          <w:b/>
          <w:bCs/>
          <w:i/>
          <w:iCs/>
          <w:sz w:val="26"/>
          <w:szCs w:val="26"/>
        </w:rPr>
        <w:t xml:space="preserve"> «О выборе победителя открытого запроса цен»</w:t>
      </w:r>
    </w:p>
    <w:p w:rsidR="007D366E" w:rsidRPr="007D366E" w:rsidRDefault="00A72451" w:rsidP="007D366E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 w:rsidRPr="00A72451">
        <w:rPr>
          <w:b/>
          <w:i/>
          <w:sz w:val="26"/>
          <w:szCs w:val="26"/>
        </w:rPr>
        <w:lastRenderedPageBreak/>
        <w:t>Признать победителем</w:t>
      </w:r>
      <w:r w:rsidRPr="00A72451">
        <w:rPr>
          <w:sz w:val="26"/>
          <w:szCs w:val="26"/>
        </w:rPr>
        <w:t xml:space="preserve"> открытого запроса цен: </w:t>
      </w:r>
      <w:r w:rsidR="007D366E" w:rsidRPr="007D366E">
        <w:rPr>
          <w:b/>
          <w:i/>
          <w:snapToGrid/>
          <w:sz w:val="26"/>
          <w:szCs w:val="26"/>
        </w:rPr>
        <w:t>«</w:t>
      </w:r>
      <w:r w:rsidR="007D366E" w:rsidRPr="007D366E">
        <w:rPr>
          <w:rFonts w:eastAsiaTheme="minorHAnsi"/>
          <w:b/>
          <w:i/>
          <w:snapToGrid/>
          <w:sz w:val="26"/>
          <w:szCs w:val="26"/>
          <w:lang w:eastAsia="en-US"/>
        </w:rPr>
        <w:t>СИЗ Указатели напряжения» для нужд филиалов АО «ДРСК</w:t>
      </w:r>
      <w:r w:rsidR="007D366E" w:rsidRPr="007D366E">
        <w:rPr>
          <w:rFonts w:eastAsiaTheme="minorHAnsi"/>
          <w:i/>
          <w:snapToGrid/>
          <w:sz w:val="26"/>
          <w:szCs w:val="26"/>
          <w:lang w:eastAsia="en-US"/>
        </w:rPr>
        <w:t xml:space="preserve">» </w:t>
      </w:r>
      <w:r w:rsidR="007D366E" w:rsidRPr="007D366E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D366E" w:rsidRPr="007D366E">
        <w:rPr>
          <w:sz w:val="26"/>
          <w:szCs w:val="26"/>
        </w:rPr>
        <w:t>ранжировке</w:t>
      </w:r>
      <w:proofErr w:type="spellEnd"/>
      <w:r w:rsidR="007D366E" w:rsidRPr="007D366E">
        <w:rPr>
          <w:sz w:val="26"/>
          <w:szCs w:val="26"/>
        </w:rPr>
        <w:t xml:space="preserve"> по степени предпочтительности для заказчика</w:t>
      </w:r>
      <w:r w:rsidR="007D366E" w:rsidRPr="007D366E">
        <w:rPr>
          <w:b/>
          <w:i/>
          <w:snapToGrid/>
          <w:sz w:val="26"/>
          <w:szCs w:val="26"/>
        </w:rPr>
        <w:t xml:space="preserve"> </w:t>
      </w:r>
      <w:r w:rsidR="007D366E" w:rsidRPr="007D366E">
        <w:rPr>
          <w:rFonts w:eastAsiaTheme="minorEastAsia"/>
          <w:b/>
          <w:i/>
          <w:snapToGrid/>
          <w:sz w:val="26"/>
          <w:szCs w:val="26"/>
        </w:rPr>
        <w:t xml:space="preserve">ООО </w:t>
      </w:r>
      <w:r w:rsidR="007D366E" w:rsidRPr="007D366E">
        <w:rPr>
          <w:rFonts w:eastAsiaTheme="minorEastAsia"/>
          <w:b/>
          <w:i/>
          <w:snapToGrid/>
          <w:sz w:val="26"/>
          <w:szCs w:val="26"/>
        </w:rPr>
        <w:br/>
      </w:r>
      <w:r w:rsidR="007D366E" w:rsidRPr="007D366E">
        <w:rPr>
          <w:rFonts w:eastAsiaTheme="minorEastAsia"/>
          <w:b/>
          <w:i/>
          <w:snapToGrid/>
          <w:sz w:val="26"/>
          <w:szCs w:val="26"/>
          <w:lang w:eastAsia="en-US"/>
        </w:rPr>
        <w:t>"</w:t>
      </w:r>
      <w:proofErr w:type="spellStart"/>
      <w:r w:rsidR="007D366E" w:rsidRPr="007D366E">
        <w:rPr>
          <w:rFonts w:eastAsiaTheme="minorEastAsia"/>
          <w:b/>
          <w:i/>
          <w:snapToGrid/>
          <w:sz w:val="26"/>
          <w:szCs w:val="26"/>
          <w:lang w:eastAsia="en-US"/>
        </w:rPr>
        <w:t>ЭнергоПромЗащита</w:t>
      </w:r>
      <w:proofErr w:type="spellEnd"/>
      <w:r w:rsidR="007D366E" w:rsidRPr="007D366E">
        <w:rPr>
          <w:rFonts w:eastAsiaTheme="minorEastAsia"/>
          <w:b/>
          <w:i/>
          <w:snapToGrid/>
          <w:sz w:val="26"/>
          <w:szCs w:val="26"/>
          <w:lang w:eastAsia="en-US"/>
        </w:rPr>
        <w:t xml:space="preserve"> "</w:t>
      </w:r>
      <w:r w:rsidR="007D366E" w:rsidRPr="007D366E">
        <w:rPr>
          <w:rFonts w:eastAsiaTheme="minorEastAsia"/>
          <w:snapToGrid/>
          <w:sz w:val="26"/>
          <w:szCs w:val="26"/>
          <w:lang w:eastAsia="en-US"/>
        </w:rPr>
        <w:t xml:space="preserve"> </w:t>
      </w:r>
      <w:proofErr w:type="gramStart"/>
      <w:r w:rsidR="007D366E" w:rsidRPr="007D366E">
        <w:rPr>
          <w:snapToGrid/>
          <w:sz w:val="26"/>
          <w:szCs w:val="26"/>
        </w:rPr>
        <w:t xml:space="preserve">( </w:t>
      </w:r>
      <w:proofErr w:type="gramEnd"/>
      <w:r w:rsidR="007D366E" w:rsidRPr="007D366E">
        <w:rPr>
          <w:snapToGrid/>
          <w:sz w:val="26"/>
          <w:szCs w:val="26"/>
        </w:rPr>
        <w:t xml:space="preserve">420021, г. Казань, ул. </w:t>
      </w:r>
      <w:proofErr w:type="spellStart"/>
      <w:r w:rsidR="007D366E" w:rsidRPr="007D366E">
        <w:rPr>
          <w:snapToGrid/>
          <w:sz w:val="26"/>
          <w:szCs w:val="26"/>
        </w:rPr>
        <w:t>Карима</w:t>
      </w:r>
      <w:proofErr w:type="spellEnd"/>
      <w:r w:rsidR="007D366E" w:rsidRPr="007D366E">
        <w:rPr>
          <w:snapToGrid/>
          <w:sz w:val="26"/>
          <w:szCs w:val="26"/>
        </w:rPr>
        <w:t xml:space="preserve"> </w:t>
      </w:r>
      <w:proofErr w:type="spellStart"/>
      <w:r w:rsidR="007D366E" w:rsidRPr="007D366E">
        <w:rPr>
          <w:snapToGrid/>
          <w:sz w:val="26"/>
          <w:szCs w:val="26"/>
        </w:rPr>
        <w:t>Тинчурина</w:t>
      </w:r>
      <w:proofErr w:type="spellEnd"/>
      <w:r w:rsidR="007D366E" w:rsidRPr="007D366E">
        <w:rPr>
          <w:snapToGrid/>
          <w:sz w:val="26"/>
          <w:szCs w:val="26"/>
        </w:rPr>
        <w:t xml:space="preserve">, 17) </w:t>
      </w:r>
      <w:r w:rsidR="007D366E" w:rsidRPr="007D366E">
        <w:rPr>
          <w:sz w:val="26"/>
          <w:szCs w:val="26"/>
        </w:rPr>
        <w:t xml:space="preserve">на условиях:  Цена: </w:t>
      </w:r>
      <w:r w:rsidR="007D366E" w:rsidRPr="007D366E">
        <w:rPr>
          <w:b/>
          <w:i/>
          <w:snapToGrid/>
          <w:sz w:val="26"/>
          <w:szCs w:val="26"/>
        </w:rPr>
        <w:t>1 887 575,20</w:t>
      </w:r>
      <w:r w:rsidR="007D366E" w:rsidRPr="007D366E">
        <w:rPr>
          <w:snapToGrid/>
          <w:sz w:val="26"/>
          <w:szCs w:val="26"/>
        </w:rPr>
        <w:t xml:space="preserve"> руб. (цена без НДС: </w:t>
      </w:r>
      <w:r w:rsidR="007D366E" w:rsidRPr="007D366E">
        <w:rPr>
          <w:b/>
          <w:i/>
          <w:sz w:val="26"/>
          <w:szCs w:val="26"/>
        </w:rPr>
        <w:t>1 599 640,00</w:t>
      </w:r>
      <w:r w:rsidR="007D366E" w:rsidRPr="007D366E">
        <w:rPr>
          <w:sz w:val="26"/>
          <w:szCs w:val="26"/>
        </w:rPr>
        <w:t xml:space="preserve"> </w:t>
      </w:r>
      <w:r w:rsidR="007D366E" w:rsidRPr="007D366E">
        <w:rPr>
          <w:snapToGrid/>
          <w:sz w:val="26"/>
          <w:szCs w:val="26"/>
        </w:rPr>
        <w:t xml:space="preserve">руб.). </w:t>
      </w:r>
      <w:r w:rsidR="007D366E" w:rsidRPr="007D366E">
        <w:rPr>
          <w:rFonts w:eastAsiaTheme="minorHAnsi"/>
          <w:snapToGrid/>
          <w:sz w:val="26"/>
          <w:szCs w:val="26"/>
          <w:lang w:eastAsia="en-US"/>
        </w:rPr>
        <w:t>Условия оплаты: По факту поставки в течение 30 дней со дня подписания акта сдачи-приемки товара, товарной накладной (ТОРГ-12). Срок поставки: 25.06.2018г. Гарантийный срок: 24 месяца со дня продажи потребителю.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A72451" w:rsidRDefault="00A72451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72451" w:rsidRDefault="00A72451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C02479" w:rsidRPr="00E14ABB" w:rsidRDefault="00A42CA3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</w:p>
        </w:tc>
        <w:tc>
          <w:tcPr>
            <w:tcW w:w="4268" w:type="dxa"/>
          </w:tcPr>
          <w:p w:rsidR="00FC17FA" w:rsidRDefault="00FC17FA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A72451" w:rsidRDefault="00A72451" w:rsidP="00C02479">
            <w:pPr>
              <w:pStyle w:val="a4"/>
              <w:jc w:val="right"/>
              <w:rPr>
                <w:sz w:val="25"/>
                <w:szCs w:val="25"/>
              </w:rPr>
            </w:pPr>
          </w:p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821" w:rsidRDefault="00DC1821" w:rsidP="00355095">
      <w:pPr>
        <w:spacing w:line="240" w:lineRule="auto"/>
      </w:pPr>
      <w:r>
        <w:separator/>
      </w:r>
    </w:p>
  </w:endnote>
  <w:endnote w:type="continuationSeparator" w:id="0">
    <w:p w:rsidR="00DC1821" w:rsidRDefault="00DC18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092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092D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821" w:rsidRDefault="00DC1821" w:rsidP="00355095">
      <w:pPr>
        <w:spacing w:line="240" w:lineRule="auto"/>
      </w:pPr>
      <w:r>
        <w:separator/>
      </w:r>
    </w:p>
  </w:footnote>
  <w:footnote w:type="continuationSeparator" w:id="0">
    <w:p w:rsidR="00DC1821" w:rsidRDefault="00DC18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FC17FA">
      <w:rPr>
        <w:i/>
        <w:sz w:val="20"/>
      </w:rPr>
      <w:t>, зак.</w:t>
    </w:r>
    <w:r w:rsidR="007D366E">
      <w:rPr>
        <w:i/>
        <w:sz w:val="20"/>
      </w:rPr>
      <w:t>1308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28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17C9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187E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76DC9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D2090"/>
    <w:rsid w:val="001D5E5C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61280"/>
    <w:rsid w:val="0027279B"/>
    <w:rsid w:val="00275DFE"/>
    <w:rsid w:val="00277600"/>
    <w:rsid w:val="002829CE"/>
    <w:rsid w:val="002846FC"/>
    <w:rsid w:val="00287A57"/>
    <w:rsid w:val="0029474A"/>
    <w:rsid w:val="002A33CB"/>
    <w:rsid w:val="002B3EF1"/>
    <w:rsid w:val="002B7EC6"/>
    <w:rsid w:val="002E0302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5651"/>
    <w:rsid w:val="003C690B"/>
    <w:rsid w:val="003D0516"/>
    <w:rsid w:val="003D62C8"/>
    <w:rsid w:val="003E1B5E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3FF5"/>
    <w:rsid w:val="00515CBE"/>
    <w:rsid w:val="005223BA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1D25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0B3A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34E35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366E"/>
    <w:rsid w:val="007D407B"/>
    <w:rsid w:val="007D4DBB"/>
    <w:rsid w:val="007D7B16"/>
    <w:rsid w:val="00801079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5A7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23F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55C72"/>
    <w:rsid w:val="00956806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42CA3"/>
    <w:rsid w:val="00A5274A"/>
    <w:rsid w:val="00A54728"/>
    <w:rsid w:val="00A56CAE"/>
    <w:rsid w:val="00A57A7B"/>
    <w:rsid w:val="00A62A51"/>
    <w:rsid w:val="00A66628"/>
    <w:rsid w:val="00A6718E"/>
    <w:rsid w:val="00A718D9"/>
    <w:rsid w:val="00A72451"/>
    <w:rsid w:val="00A7248D"/>
    <w:rsid w:val="00A76D45"/>
    <w:rsid w:val="00A77B90"/>
    <w:rsid w:val="00A87C37"/>
    <w:rsid w:val="00A93AAA"/>
    <w:rsid w:val="00A93FBE"/>
    <w:rsid w:val="00A95BFA"/>
    <w:rsid w:val="00AA0FC2"/>
    <w:rsid w:val="00AA1F47"/>
    <w:rsid w:val="00AA2933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003C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E46FD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5BC"/>
    <w:rsid w:val="00C3694E"/>
    <w:rsid w:val="00C36BC2"/>
    <w:rsid w:val="00C42C5E"/>
    <w:rsid w:val="00C438F5"/>
    <w:rsid w:val="00C52908"/>
    <w:rsid w:val="00C5505C"/>
    <w:rsid w:val="00C55AD2"/>
    <w:rsid w:val="00C62488"/>
    <w:rsid w:val="00C63EBA"/>
    <w:rsid w:val="00C75C4C"/>
    <w:rsid w:val="00C77AD0"/>
    <w:rsid w:val="00C8092D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4ECE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1821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A3931"/>
    <w:rsid w:val="00EB0EC9"/>
    <w:rsid w:val="00EB25E3"/>
    <w:rsid w:val="00EB5BC4"/>
    <w:rsid w:val="00EC4800"/>
    <w:rsid w:val="00EC491E"/>
    <w:rsid w:val="00EC4B68"/>
    <w:rsid w:val="00EC703D"/>
    <w:rsid w:val="00ED0444"/>
    <w:rsid w:val="00ED5728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17FA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68FD0-7E83-469D-AC05-6B92D69B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185</cp:revision>
  <cp:lastPrinted>2018-05-07T08:05:00Z</cp:lastPrinted>
  <dcterms:created xsi:type="dcterms:W3CDTF">2015-03-25T00:17:00Z</dcterms:created>
  <dcterms:modified xsi:type="dcterms:W3CDTF">2018-05-08T05:34:00Z</dcterms:modified>
</cp:coreProperties>
</file>