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1DF7" w:rsidRDefault="00A31DF7" w:rsidP="00A31DF7">
      <w:pPr>
        <w:rPr>
          <w:b/>
          <w:sz w:val="26"/>
          <w:szCs w:val="26"/>
        </w:rPr>
      </w:pPr>
      <w:r>
        <w:rPr>
          <w:b/>
          <w:sz w:val="26"/>
          <w:szCs w:val="26"/>
        </w:rPr>
        <w:t>Приложение № 1</w:t>
      </w:r>
    </w:p>
    <w:p w:rsidR="00A31DF7" w:rsidRDefault="00A31DF7" w:rsidP="00A31DF7">
      <w:pPr>
        <w:jc w:val="right"/>
        <w:rPr>
          <w:caps/>
          <w:sz w:val="26"/>
          <w:szCs w:val="26"/>
        </w:rPr>
      </w:pPr>
    </w:p>
    <w:p w:rsidR="00A31DF7" w:rsidRDefault="00A31DF7" w:rsidP="00A31DF7">
      <w:pPr>
        <w:widowControl w:val="0"/>
        <w:ind w:firstLine="720"/>
        <w:jc w:val="center"/>
        <w:rPr>
          <w:b/>
          <w:sz w:val="26"/>
          <w:szCs w:val="26"/>
        </w:rPr>
      </w:pPr>
      <w:r>
        <w:rPr>
          <w:b/>
          <w:sz w:val="26"/>
          <w:szCs w:val="26"/>
        </w:rPr>
        <w:t>Ведомость объемов и виды выполняемых работ</w:t>
      </w:r>
    </w:p>
    <w:p w:rsidR="00A31DF7" w:rsidRDefault="00A31DF7" w:rsidP="00A31DF7">
      <w:pPr>
        <w:widowControl w:val="0"/>
        <w:ind w:firstLine="720"/>
        <w:jc w:val="both"/>
        <w:rPr>
          <w:sz w:val="26"/>
          <w:szCs w:val="26"/>
        </w:rPr>
      </w:pPr>
    </w:p>
    <w:p w:rsidR="00A31DF7" w:rsidRDefault="00A31DF7" w:rsidP="00A31DF7">
      <w:pPr>
        <w:numPr>
          <w:ilvl w:val="0"/>
          <w:numId w:val="1"/>
        </w:numPr>
        <w:jc w:val="both"/>
        <w:rPr>
          <w:sz w:val="26"/>
          <w:szCs w:val="26"/>
        </w:rPr>
      </w:pPr>
      <w:r>
        <w:rPr>
          <w:sz w:val="26"/>
          <w:szCs w:val="26"/>
        </w:rPr>
        <w:t xml:space="preserve">Поставка, монтаж и пуско-наладочные работы «под ключ»  аппаратуры телемеханики,  дополнительного оборудования. </w:t>
      </w:r>
    </w:p>
    <w:p w:rsidR="00A31DF7" w:rsidRDefault="00A31DF7" w:rsidP="00A31DF7">
      <w:pPr>
        <w:numPr>
          <w:ilvl w:val="0"/>
          <w:numId w:val="1"/>
        </w:numPr>
        <w:jc w:val="both"/>
        <w:rPr>
          <w:sz w:val="26"/>
          <w:szCs w:val="26"/>
        </w:rPr>
      </w:pPr>
      <w:r>
        <w:rPr>
          <w:sz w:val="26"/>
          <w:szCs w:val="26"/>
        </w:rPr>
        <w:t>Интеграция поставляемого оборудования телемеханики в существующие комплексы телемеханики структурных подразделений (СП) филиала АО «ДРСК» «Хабаровские электрические сети».</w:t>
      </w:r>
    </w:p>
    <w:p w:rsidR="00A31DF7" w:rsidRDefault="00A31DF7" w:rsidP="00A31DF7">
      <w:pPr>
        <w:numPr>
          <w:ilvl w:val="0"/>
          <w:numId w:val="1"/>
        </w:numPr>
        <w:jc w:val="both"/>
        <w:rPr>
          <w:sz w:val="26"/>
          <w:szCs w:val="26"/>
        </w:rPr>
      </w:pPr>
      <w:r>
        <w:rPr>
          <w:sz w:val="26"/>
          <w:szCs w:val="26"/>
        </w:rPr>
        <w:t>Доставка  поставляемой аппаратуры телемеханики,  дополнительного оборудования до места монтажа;</w:t>
      </w:r>
    </w:p>
    <w:p w:rsidR="00A31DF7" w:rsidRDefault="00A31DF7" w:rsidP="00A31DF7">
      <w:pPr>
        <w:numPr>
          <w:ilvl w:val="0"/>
          <w:numId w:val="1"/>
        </w:numPr>
        <w:jc w:val="both"/>
        <w:rPr>
          <w:sz w:val="26"/>
          <w:szCs w:val="26"/>
        </w:rPr>
      </w:pPr>
      <w:r>
        <w:rPr>
          <w:sz w:val="26"/>
          <w:szCs w:val="26"/>
        </w:rPr>
        <w:t>Распаковка, монтаж аппаратуры телемеханики на монтажных  площадках указанных в ТЗ подстанций.</w:t>
      </w:r>
    </w:p>
    <w:p w:rsidR="00A31DF7" w:rsidRDefault="00A31DF7" w:rsidP="00A31DF7">
      <w:pPr>
        <w:numPr>
          <w:ilvl w:val="0"/>
          <w:numId w:val="1"/>
        </w:numPr>
        <w:jc w:val="both"/>
        <w:rPr>
          <w:sz w:val="26"/>
          <w:szCs w:val="26"/>
        </w:rPr>
      </w:pPr>
      <w:r>
        <w:rPr>
          <w:sz w:val="26"/>
          <w:szCs w:val="26"/>
        </w:rPr>
        <w:t>Распаковка, монтаж дополнительного оборудования предназначенного для пуско-наладки и эксплуатации поставляемой аппаратуры телемеханики на площадке Заказчика.</w:t>
      </w:r>
    </w:p>
    <w:p w:rsidR="00A31DF7" w:rsidRDefault="00A31DF7" w:rsidP="00A31DF7">
      <w:pPr>
        <w:numPr>
          <w:ilvl w:val="0"/>
          <w:numId w:val="1"/>
        </w:numPr>
        <w:jc w:val="both"/>
        <w:rPr>
          <w:sz w:val="26"/>
          <w:szCs w:val="26"/>
        </w:rPr>
      </w:pPr>
      <w:r>
        <w:rPr>
          <w:sz w:val="26"/>
          <w:szCs w:val="26"/>
        </w:rPr>
        <w:t>Прокладка, разделка и подключение кабелей и проводов.</w:t>
      </w:r>
    </w:p>
    <w:p w:rsidR="00A31DF7" w:rsidRDefault="00A31DF7" w:rsidP="00A31DF7">
      <w:pPr>
        <w:numPr>
          <w:ilvl w:val="0"/>
          <w:numId w:val="1"/>
        </w:numPr>
        <w:jc w:val="both"/>
        <w:rPr>
          <w:sz w:val="26"/>
          <w:szCs w:val="26"/>
        </w:rPr>
      </w:pPr>
      <w:r>
        <w:rPr>
          <w:sz w:val="26"/>
          <w:szCs w:val="26"/>
        </w:rPr>
        <w:t>Подключение аппаратуры к электропитанию и контуру заземления здания.</w:t>
      </w:r>
    </w:p>
    <w:p w:rsidR="00A31DF7" w:rsidRDefault="00A31DF7" w:rsidP="00A31DF7">
      <w:pPr>
        <w:numPr>
          <w:ilvl w:val="0"/>
          <w:numId w:val="1"/>
        </w:numPr>
        <w:jc w:val="both"/>
        <w:rPr>
          <w:sz w:val="26"/>
          <w:szCs w:val="26"/>
        </w:rPr>
      </w:pPr>
      <w:r>
        <w:rPr>
          <w:sz w:val="26"/>
          <w:szCs w:val="26"/>
        </w:rPr>
        <w:t xml:space="preserve">Монтажные работы выполняются в отключенных от электропитания </w:t>
      </w:r>
      <w:proofErr w:type="gramStart"/>
      <w:r>
        <w:rPr>
          <w:sz w:val="26"/>
          <w:szCs w:val="26"/>
        </w:rPr>
        <w:t>шкафах</w:t>
      </w:r>
      <w:proofErr w:type="gramEnd"/>
      <w:r>
        <w:rPr>
          <w:sz w:val="26"/>
          <w:szCs w:val="26"/>
        </w:rPr>
        <w:t xml:space="preserve"> и в ДЭУ 10 </w:t>
      </w:r>
      <w:proofErr w:type="spellStart"/>
      <w:r>
        <w:rPr>
          <w:sz w:val="26"/>
          <w:szCs w:val="26"/>
        </w:rPr>
        <w:t>кВ</w:t>
      </w:r>
      <w:proofErr w:type="spellEnd"/>
      <w:r>
        <w:rPr>
          <w:sz w:val="26"/>
          <w:szCs w:val="26"/>
        </w:rPr>
        <w:t xml:space="preserve"> с оформлением соответствующих нарядов-допусков.</w:t>
      </w:r>
    </w:p>
    <w:p w:rsidR="00A31DF7" w:rsidRDefault="00A31DF7" w:rsidP="00A31DF7">
      <w:pPr>
        <w:numPr>
          <w:ilvl w:val="0"/>
          <w:numId w:val="1"/>
        </w:numPr>
        <w:jc w:val="both"/>
        <w:rPr>
          <w:sz w:val="26"/>
          <w:szCs w:val="26"/>
        </w:rPr>
      </w:pPr>
      <w:r>
        <w:rPr>
          <w:sz w:val="26"/>
          <w:szCs w:val="26"/>
        </w:rPr>
        <w:t xml:space="preserve">Пусконаладочные работы выполняются в действующих </w:t>
      </w:r>
      <w:proofErr w:type="gramStart"/>
      <w:r>
        <w:rPr>
          <w:sz w:val="26"/>
          <w:szCs w:val="26"/>
        </w:rPr>
        <w:t>электроустановках</w:t>
      </w:r>
      <w:proofErr w:type="gramEnd"/>
      <w:r>
        <w:rPr>
          <w:sz w:val="26"/>
          <w:szCs w:val="26"/>
        </w:rPr>
        <w:t xml:space="preserve"> (шкафах) без отключения напряжения в месте производства работ. Величина напряжения на месте производства работ – не более 220В  переменного тока и 24В постоянного тока. Подрядчик согласовывает графики проверки телеуправления коммутационной аппаратурой силового оборудования подстанций с диспетчерскими службами СП за 15 дней до начала проверки.</w:t>
      </w:r>
    </w:p>
    <w:p w:rsidR="00A31DF7" w:rsidRDefault="00A31DF7" w:rsidP="00A31DF7">
      <w:pPr>
        <w:numPr>
          <w:ilvl w:val="0"/>
          <w:numId w:val="1"/>
        </w:numPr>
        <w:jc w:val="both"/>
        <w:rPr>
          <w:sz w:val="26"/>
          <w:szCs w:val="26"/>
        </w:rPr>
      </w:pPr>
      <w:r>
        <w:rPr>
          <w:sz w:val="26"/>
          <w:szCs w:val="26"/>
        </w:rPr>
        <w:t>Прокладка кабелей выполняется по существующим кабельным лоткам и каналам. На стадии предварительного обследования необходимо определить возможную  емкость  кабельных каналов и в случае малой вместимости предусмотреть прокладку кабелей по дополнительным  лоткам.</w:t>
      </w:r>
    </w:p>
    <w:p w:rsidR="00A31DF7" w:rsidRDefault="00A31DF7" w:rsidP="00A31DF7">
      <w:pPr>
        <w:numPr>
          <w:ilvl w:val="0"/>
          <w:numId w:val="1"/>
        </w:numPr>
        <w:jc w:val="both"/>
        <w:rPr>
          <w:sz w:val="26"/>
          <w:szCs w:val="26"/>
        </w:rPr>
      </w:pPr>
      <w:r>
        <w:rPr>
          <w:sz w:val="26"/>
          <w:szCs w:val="26"/>
        </w:rPr>
        <w:t>Присоединение корпусов монтируемых панелей  телемеханики к контуру заземления подстанции выполняется по месту.</w:t>
      </w:r>
    </w:p>
    <w:p w:rsidR="00A31DF7" w:rsidRDefault="00A31DF7" w:rsidP="00A31DF7">
      <w:pPr>
        <w:numPr>
          <w:ilvl w:val="0"/>
          <w:numId w:val="1"/>
        </w:numPr>
        <w:jc w:val="both"/>
        <w:rPr>
          <w:sz w:val="26"/>
          <w:szCs w:val="26"/>
        </w:rPr>
      </w:pPr>
      <w:r>
        <w:rPr>
          <w:sz w:val="26"/>
          <w:szCs w:val="26"/>
        </w:rPr>
        <w:t>Точки подключения кабелей питания, заземления, а также места установки поставляемого оборудования определяются совместно представителями Заказчика и Подрядчика с составлением актов.</w:t>
      </w:r>
    </w:p>
    <w:p w:rsidR="00A31DF7" w:rsidRDefault="00A31DF7" w:rsidP="00A31DF7">
      <w:pPr>
        <w:numPr>
          <w:ilvl w:val="0"/>
          <w:numId w:val="1"/>
        </w:numPr>
        <w:jc w:val="both"/>
        <w:rPr>
          <w:sz w:val="26"/>
          <w:szCs w:val="26"/>
        </w:rPr>
      </w:pPr>
      <w:r>
        <w:rPr>
          <w:sz w:val="26"/>
          <w:szCs w:val="26"/>
        </w:rPr>
        <w:t xml:space="preserve">Работы по вводу в эксплуатацию выполняются в </w:t>
      </w:r>
      <w:proofErr w:type="gramStart"/>
      <w:r>
        <w:rPr>
          <w:sz w:val="26"/>
          <w:szCs w:val="26"/>
        </w:rPr>
        <w:t>присутствии</w:t>
      </w:r>
      <w:proofErr w:type="gramEnd"/>
      <w:r>
        <w:rPr>
          <w:sz w:val="26"/>
          <w:szCs w:val="26"/>
        </w:rPr>
        <w:t xml:space="preserve"> представителей Заказчика.</w:t>
      </w:r>
    </w:p>
    <w:p w:rsidR="00A31DF7" w:rsidRDefault="00A31DF7" w:rsidP="00A31DF7">
      <w:pPr>
        <w:numPr>
          <w:ilvl w:val="0"/>
          <w:numId w:val="1"/>
        </w:numPr>
        <w:jc w:val="both"/>
        <w:rPr>
          <w:sz w:val="26"/>
          <w:szCs w:val="26"/>
        </w:rPr>
      </w:pPr>
      <w:r>
        <w:rPr>
          <w:sz w:val="26"/>
          <w:szCs w:val="26"/>
        </w:rPr>
        <w:t>Пуско-наладочными работами предусматривается включение аппаратуры  телемеханики подстанций с передачей телеметрии в ОИУК ТМ, в том числе:</w:t>
      </w:r>
    </w:p>
    <w:p w:rsidR="00A31DF7" w:rsidRDefault="00A31DF7" w:rsidP="00A31DF7">
      <w:pPr>
        <w:ind w:left="709"/>
        <w:jc w:val="both"/>
        <w:rPr>
          <w:sz w:val="26"/>
          <w:szCs w:val="26"/>
        </w:rPr>
      </w:pPr>
      <w:r>
        <w:rPr>
          <w:sz w:val="26"/>
          <w:szCs w:val="26"/>
        </w:rPr>
        <w:t>14.1. С подстанции «</w:t>
      </w:r>
      <w:proofErr w:type="spellStart"/>
      <w:r>
        <w:rPr>
          <w:sz w:val="26"/>
          <w:szCs w:val="26"/>
        </w:rPr>
        <w:t>Некрасовка</w:t>
      </w:r>
      <w:proofErr w:type="spellEnd"/>
      <w:r>
        <w:rPr>
          <w:sz w:val="26"/>
          <w:szCs w:val="26"/>
        </w:rPr>
        <w:t>»:</w:t>
      </w:r>
    </w:p>
    <w:p w:rsidR="00A31DF7" w:rsidRDefault="00A31DF7" w:rsidP="00A31DF7">
      <w:pPr>
        <w:ind w:left="709"/>
        <w:jc w:val="both"/>
        <w:rPr>
          <w:color w:val="FF0000"/>
          <w:sz w:val="26"/>
          <w:szCs w:val="26"/>
        </w:rPr>
      </w:pPr>
      <w:r>
        <w:rPr>
          <w:sz w:val="26"/>
          <w:szCs w:val="26"/>
        </w:rPr>
        <w:t xml:space="preserve">- по сети </w:t>
      </w:r>
      <w:proofErr w:type="spellStart"/>
      <w:r>
        <w:rPr>
          <w:sz w:val="26"/>
          <w:szCs w:val="26"/>
        </w:rPr>
        <w:t>Ethernet</w:t>
      </w:r>
      <w:proofErr w:type="spellEnd"/>
      <w:r>
        <w:rPr>
          <w:sz w:val="26"/>
          <w:szCs w:val="26"/>
        </w:rPr>
        <w:t xml:space="preserve">  в </w:t>
      </w:r>
      <w:proofErr w:type="gramStart"/>
      <w:r>
        <w:rPr>
          <w:sz w:val="26"/>
          <w:szCs w:val="26"/>
        </w:rPr>
        <w:t>протоколе</w:t>
      </w:r>
      <w:proofErr w:type="gramEnd"/>
      <w:r>
        <w:rPr>
          <w:sz w:val="26"/>
          <w:szCs w:val="26"/>
        </w:rPr>
        <w:t xml:space="preserve">  МЭК- 60870-5-104 по основному (ВОЛС) и резервному (GPRS) каналам  в ОИУК «Диспетчер-НТ» СП ЦЭС, далее по сети </w:t>
      </w:r>
      <w:proofErr w:type="spellStart"/>
      <w:r>
        <w:rPr>
          <w:sz w:val="26"/>
          <w:szCs w:val="26"/>
        </w:rPr>
        <w:t>Ethernet</w:t>
      </w:r>
      <w:proofErr w:type="spellEnd"/>
      <w:r>
        <w:rPr>
          <w:sz w:val="26"/>
          <w:szCs w:val="26"/>
        </w:rPr>
        <w:t xml:space="preserve">  в протоколе  МЭК- 60870-5-104 в  Хабаровское РДУ.</w:t>
      </w:r>
    </w:p>
    <w:p w:rsidR="00A31DF7" w:rsidRDefault="00A31DF7" w:rsidP="00A31DF7">
      <w:pPr>
        <w:ind w:left="709"/>
        <w:jc w:val="both"/>
        <w:rPr>
          <w:sz w:val="26"/>
          <w:szCs w:val="26"/>
        </w:rPr>
      </w:pPr>
      <w:r>
        <w:rPr>
          <w:sz w:val="26"/>
          <w:szCs w:val="26"/>
        </w:rPr>
        <w:t>14.2</w:t>
      </w:r>
      <w:proofErr w:type="gramStart"/>
      <w:r>
        <w:rPr>
          <w:sz w:val="26"/>
          <w:szCs w:val="26"/>
        </w:rPr>
        <w:t xml:space="preserve"> С</w:t>
      </w:r>
      <w:proofErr w:type="gramEnd"/>
      <w:r>
        <w:rPr>
          <w:sz w:val="26"/>
          <w:szCs w:val="26"/>
        </w:rPr>
        <w:t xml:space="preserve"> подстанции «</w:t>
      </w:r>
      <w:proofErr w:type="spellStart"/>
      <w:r>
        <w:rPr>
          <w:sz w:val="26"/>
          <w:szCs w:val="26"/>
        </w:rPr>
        <w:t>Красицкая</w:t>
      </w:r>
      <w:proofErr w:type="spellEnd"/>
      <w:r>
        <w:rPr>
          <w:sz w:val="26"/>
          <w:szCs w:val="26"/>
        </w:rPr>
        <w:t>»:</w:t>
      </w:r>
    </w:p>
    <w:p w:rsidR="00A31DF7" w:rsidRDefault="00A31DF7" w:rsidP="00A31DF7">
      <w:pPr>
        <w:ind w:left="709"/>
        <w:jc w:val="both"/>
        <w:rPr>
          <w:sz w:val="26"/>
          <w:szCs w:val="26"/>
        </w:rPr>
      </w:pPr>
      <w:r>
        <w:rPr>
          <w:sz w:val="26"/>
          <w:szCs w:val="26"/>
        </w:rPr>
        <w:t xml:space="preserve">- по сети </w:t>
      </w:r>
      <w:proofErr w:type="spellStart"/>
      <w:r>
        <w:rPr>
          <w:sz w:val="26"/>
          <w:szCs w:val="26"/>
        </w:rPr>
        <w:t>Ethernet</w:t>
      </w:r>
      <w:proofErr w:type="spellEnd"/>
      <w:r>
        <w:rPr>
          <w:sz w:val="26"/>
          <w:szCs w:val="26"/>
        </w:rPr>
        <w:t xml:space="preserve">  в </w:t>
      </w:r>
      <w:proofErr w:type="gramStart"/>
      <w:r>
        <w:rPr>
          <w:sz w:val="26"/>
          <w:szCs w:val="26"/>
        </w:rPr>
        <w:t>протоколе</w:t>
      </w:r>
      <w:proofErr w:type="gramEnd"/>
      <w:r>
        <w:rPr>
          <w:sz w:val="26"/>
          <w:szCs w:val="26"/>
        </w:rPr>
        <w:t xml:space="preserve">  МЭК- 60870-5-104 по основному каналу (ВОЛС) в ОИУК «Диспетчер-НТ» СП «ЦЭС»;</w:t>
      </w:r>
    </w:p>
    <w:p w:rsidR="00A31DF7" w:rsidRDefault="00A31DF7" w:rsidP="00A31DF7">
      <w:pPr>
        <w:ind w:left="709"/>
        <w:jc w:val="both"/>
        <w:rPr>
          <w:sz w:val="26"/>
          <w:szCs w:val="26"/>
        </w:rPr>
      </w:pPr>
      <w:r>
        <w:rPr>
          <w:sz w:val="26"/>
          <w:szCs w:val="26"/>
        </w:rPr>
        <w:lastRenderedPageBreak/>
        <w:t xml:space="preserve">- по  резервному  каналу ВЧ-связи до ПС «Вяземская» далее от ПС «Вяземская» по цифровому каналу (ВОЛС)  </w:t>
      </w:r>
      <w:r>
        <w:t xml:space="preserve"> </w:t>
      </w:r>
      <w:r>
        <w:rPr>
          <w:sz w:val="26"/>
          <w:szCs w:val="26"/>
        </w:rPr>
        <w:t>в протоколе  МЭК- 60870-5-104 в ОИУК «Диспетчер-НТ» СП «ЦЭС»;</w:t>
      </w:r>
    </w:p>
    <w:p w:rsidR="00A31DF7" w:rsidRDefault="00A31DF7" w:rsidP="00A31DF7">
      <w:pPr>
        <w:ind w:left="709"/>
        <w:jc w:val="both"/>
        <w:rPr>
          <w:sz w:val="26"/>
          <w:szCs w:val="26"/>
        </w:rPr>
      </w:pPr>
      <w:r>
        <w:rPr>
          <w:sz w:val="26"/>
          <w:szCs w:val="26"/>
        </w:rPr>
        <w:t xml:space="preserve"> далее по сети </w:t>
      </w:r>
      <w:proofErr w:type="spellStart"/>
      <w:r>
        <w:rPr>
          <w:sz w:val="26"/>
          <w:szCs w:val="26"/>
        </w:rPr>
        <w:t>Ethernet</w:t>
      </w:r>
      <w:proofErr w:type="spellEnd"/>
      <w:r>
        <w:rPr>
          <w:sz w:val="26"/>
          <w:szCs w:val="26"/>
        </w:rPr>
        <w:t xml:space="preserve">  в протоколе  МЭК- 60870-5-104 в  </w:t>
      </w:r>
      <w:proofErr w:type="gramStart"/>
      <w:r>
        <w:rPr>
          <w:sz w:val="26"/>
          <w:szCs w:val="26"/>
        </w:rPr>
        <w:t>Хабаровское</w:t>
      </w:r>
      <w:proofErr w:type="gramEnd"/>
      <w:r>
        <w:rPr>
          <w:sz w:val="26"/>
          <w:szCs w:val="26"/>
        </w:rPr>
        <w:t xml:space="preserve"> РДУ.</w:t>
      </w:r>
    </w:p>
    <w:p w:rsidR="00A31DF7" w:rsidRDefault="00A31DF7" w:rsidP="00A31DF7">
      <w:pPr>
        <w:numPr>
          <w:ilvl w:val="0"/>
          <w:numId w:val="1"/>
        </w:numPr>
        <w:jc w:val="both"/>
        <w:rPr>
          <w:sz w:val="26"/>
          <w:szCs w:val="26"/>
        </w:rPr>
      </w:pPr>
      <w:r>
        <w:rPr>
          <w:sz w:val="26"/>
          <w:szCs w:val="26"/>
        </w:rPr>
        <w:t xml:space="preserve">По результатам предварительного обследования Подрядчик составляет документацию в </w:t>
      </w:r>
      <w:proofErr w:type="gramStart"/>
      <w:r>
        <w:rPr>
          <w:sz w:val="26"/>
          <w:szCs w:val="26"/>
        </w:rPr>
        <w:t>виде</w:t>
      </w:r>
      <w:proofErr w:type="gramEnd"/>
      <w:r>
        <w:rPr>
          <w:sz w:val="26"/>
          <w:szCs w:val="26"/>
        </w:rPr>
        <w:t>:</w:t>
      </w:r>
    </w:p>
    <w:p w:rsidR="00A31DF7" w:rsidRDefault="00A31DF7" w:rsidP="00A31DF7">
      <w:pPr>
        <w:ind w:left="709"/>
        <w:jc w:val="both"/>
        <w:rPr>
          <w:sz w:val="26"/>
          <w:szCs w:val="26"/>
        </w:rPr>
      </w:pPr>
      <w:r>
        <w:rPr>
          <w:sz w:val="26"/>
          <w:szCs w:val="26"/>
        </w:rPr>
        <w:t xml:space="preserve">-  Проекта производства работ, на весь объем  работ (с </w:t>
      </w:r>
      <w:proofErr w:type="spellStart"/>
      <w:r>
        <w:rPr>
          <w:sz w:val="26"/>
          <w:szCs w:val="26"/>
        </w:rPr>
        <w:t>пообъектной</w:t>
      </w:r>
      <w:proofErr w:type="spellEnd"/>
      <w:r>
        <w:rPr>
          <w:sz w:val="26"/>
          <w:szCs w:val="26"/>
        </w:rPr>
        <w:t xml:space="preserve"> разбивкой),  согласовывает ее с Заказчиком. В ППР должны быть отражены объемы работ, комплекс мероприятий по обеспечению безопасного производства работ, технологическая последовательность, график отключений действующего оборудования, место и условия подключения временных сетей электроснабжения, перевозок и складирования грузов, передвижения техники, а </w:t>
      </w:r>
      <w:proofErr w:type="gramStart"/>
      <w:r>
        <w:rPr>
          <w:sz w:val="26"/>
          <w:szCs w:val="26"/>
        </w:rPr>
        <w:t>так-же</w:t>
      </w:r>
      <w:proofErr w:type="gramEnd"/>
      <w:r>
        <w:rPr>
          <w:sz w:val="26"/>
          <w:szCs w:val="26"/>
        </w:rPr>
        <w:t xml:space="preserve"> размещения временных зданий и сооружений используемых для нужд складирования и хранения оборудования и материалов.</w:t>
      </w:r>
    </w:p>
    <w:p w:rsidR="00A31DF7" w:rsidRDefault="00A31DF7" w:rsidP="00A31DF7">
      <w:pPr>
        <w:ind w:left="709"/>
        <w:jc w:val="both"/>
        <w:rPr>
          <w:sz w:val="26"/>
          <w:szCs w:val="26"/>
        </w:rPr>
      </w:pPr>
      <w:r>
        <w:rPr>
          <w:sz w:val="26"/>
          <w:szCs w:val="26"/>
        </w:rPr>
        <w:t>- Рабочего проекта включающего функциональные и принципиальные схемы подключений монтируемого оборудования, принципиальные схемы подключений к вторичным цепям РЗА и ПА, измерительным цепям. Рабочий проект согласовывается с Заказчиком.</w:t>
      </w:r>
    </w:p>
    <w:p w:rsidR="00A31DF7" w:rsidRDefault="00A31DF7" w:rsidP="00A31DF7">
      <w:pPr>
        <w:numPr>
          <w:ilvl w:val="0"/>
          <w:numId w:val="1"/>
        </w:numPr>
        <w:jc w:val="both"/>
        <w:rPr>
          <w:sz w:val="26"/>
          <w:szCs w:val="26"/>
        </w:rPr>
      </w:pPr>
      <w:r>
        <w:rPr>
          <w:sz w:val="26"/>
          <w:szCs w:val="26"/>
        </w:rPr>
        <w:t>По завершению работ Подрядчик предоставляет Заказчику исполнительную документацию с протоколами испытаний смонтированного оборудования.</w:t>
      </w:r>
    </w:p>
    <w:p w:rsidR="00A31DF7" w:rsidRDefault="00A31DF7" w:rsidP="00A31DF7">
      <w:pPr>
        <w:numPr>
          <w:ilvl w:val="0"/>
          <w:numId w:val="1"/>
        </w:numPr>
        <w:jc w:val="both"/>
        <w:rPr>
          <w:sz w:val="26"/>
          <w:szCs w:val="26"/>
        </w:rPr>
      </w:pPr>
      <w:r>
        <w:rPr>
          <w:sz w:val="26"/>
          <w:szCs w:val="26"/>
        </w:rPr>
        <w:t xml:space="preserve">Выполнить кабельные трассы, кабельный журнал для подключения функциональных модулей </w:t>
      </w:r>
      <w:r>
        <w:rPr>
          <w:sz w:val="26"/>
          <w:szCs w:val="26"/>
          <w:lang w:val="en-US"/>
        </w:rPr>
        <w:t>RTU</w:t>
      </w:r>
      <w:r>
        <w:rPr>
          <w:sz w:val="26"/>
          <w:szCs w:val="26"/>
        </w:rPr>
        <w:t xml:space="preserve"> к трансформаторам тока и напряжения, цепям ТУ и ТС.</w:t>
      </w:r>
    </w:p>
    <w:p w:rsidR="00A31DF7" w:rsidRDefault="00A31DF7" w:rsidP="00A31DF7">
      <w:pPr>
        <w:numPr>
          <w:ilvl w:val="0"/>
          <w:numId w:val="1"/>
        </w:numPr>
        <w:jc w:val="both"/>
        <w:rPr>
          <w:sz w:val="26"/>
          <w:szCs w:val="26"/>
        </w:rPr>
      </w:pPr>
      <w:r>
        <w:rPr>
          <w:sz w:val="26"/>
          <w:szCs w:val="26"/>
        </w:rPr>
        <w:t xml:space="preserve">Подрядчик ведет журнал производства работ, в </w:t>
      </w:r>
      <w:proofErr w:type="gramStart"/>
      <w:r>
        <w:rPr>
          <w:sz w:val="26"/>
          <w:szCs w:val="26"/>
        </w:rPr>
        <w:t>котором</w:t>
      </w:r>
      <w:proofErr w:type="gramEnd"/>
      <w:r>
        <w:rPr>
          <w:sz w:val="26"/>
          <w:szCs w:val="26"/>
        </w:rPr>
        <w:t xml:space="preserve">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 Форма журнала должна соответствовать типовой межотраслевой Форме № КС-6, утвержденной постановлением Госкомстата России от 30.10.1997 № 71а. 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A31DF7" w:rsidRDefault="00A31DF7" w:rsidP="00A31DF7">
      <w:pPr>
        <w:numPr>
          <w:ilvl w:val="0"/>
          <w:numId w:val="1"/>
        </w:numPr>
        <w:jc w:val="both"/>
        <w:rPr>
          <w:sz w:val="26"/>
          <w:szCs w:val="26"/>
        </w:rPr>
      </w:pPr>
      <w:r>
        <w:rPr>
          <w:sz w:val="26"/>
          <w:szCs w:val="26"/>
        </w:rPr>
        <w:t>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A31DF7" w:rsidRDefault="00A31DF7" w:rsidP="00A31DF7">
      <w:pPr>
        <w:numPr>
          <w:ilvl w:val="0"/>
          <w:numId w:val="1"/>
        </w:numPr>
        <w:jc w:val="both"/>
        <w:rPr>
          <w:sz w:val="26"/>
          <w:szCs w:val="26"/>
        </w:rPr>
      </w:pPr>
      <w:r>
        <w:rPr>
          <w:sz w:val="26"/>
          <w:szCs w:val="26"/>
        </w:rPr>
        <w:t>Предусмотреть следующий объем телемеханизации на указанных подстанциях:</w:t>
      </w:r>
    </w:p>
    <w:p w:rsidR="00A31DF7" w:rsidRDefault="00A31DF7" w:rsidP="00A31DF7">
      <w:pPr>
        <w:numPr>
          <w:ilvl w:val="0"/>
          <w:numId w:val="1"/>
        </w:numPr>
        <w:jc w:val="both"/>
        <w:rPr>
          <w:sz w:val="26"/>
          <w:szCs w:val="26"/>
        </w:rPr>
      </w:pPr>
      <w:r>
        <w:rPr>
          <w:sz w:val="26"/>
          <w:szCs w:val="26"/>
        </w:rPr>
        <w:t>Телемеханизация положения всех коммутационных аппаратов главной электрической схемы подстанции.</w:t>
      </w:r>
    </w:p>
    <w:p w:rsidR="00A31DF7" w:rsidRDefault="00A31DF7" w:rsidP="00A31DF7">
      <w:pPr>
        <w:numPr>
          <w:ilvl w:val="0"/>
          <w:numId w:val="1"/>
        </w:numPr>
        <w:jc w:val="both"/>
        <w:rPr>
          <w:sz w:val="26"/>
          <w:szCs w:val="26"/>
        </w:rPr>
      </w:pPr>
      <w:r>
        <w:rPr>
          <w:sz w:val="26"/>
          <w:szCs w:val="26"/>
        </w:rPr>
        <w:t>Телеуправление приводами всех  коммутационных аппаратов. График необходимых отключений коммутационных аппаратов основной электрической схемы подстанции согласовывается за 15 дней до начала отключений.</w:t>
      </w:r>
    </w:p>
    <w:p w:rsidR="00A31DF7" w:rsidRDefault="00A31DF7" w:rsidP="00A31DF7">
      <w:pPr>
        <w:numPr>
          <w:ilvl w:val="0"/>
          <w:numId w:val="1"/>
        </w:numPr>
        <w:jc w:val="both"/>
        <w:rPr>
          <w:sz w:val="26"/>
          <w:szCs w:val="26"/>
        </w:rPr>
      </w:pPr>
      <w:r>
        <w:rPr>
          <w:sz w:val="26"/>
          <w:szCs w:val="26"/>
        </w:rPr>
        <w:lastRenderedPageBreak/>
        <w:t>Телесигнализация событий с фиксацией состояния (</w:t>
      </w:r>
      <w:proofErr w:type="gramStart"/>
      <w:r>
        <w:rPr>
          <w:sz w:val="26"/>
          <w:szCs w:val="26"/>
        </w:rPr>
        <w:t>включен</w:t>
      </w:r>
      <w:proofErr w:type="gramEnd"/>
      <w:r>
        <w:rPr>
          <w:sz w:val="26"/>
          <w:szCs w:val="26"/>
        </w:rPr>
        <w:t xml:space="preserve"> / отключен),  и обязательного контроля   состояния обрыва или короткого замыкания цепи связи с датчиком.</w:t>
      </w:r>
    </w:p>
    <w:p w:rsidR="00A31DF7" w:rsidRDefault="00A31DF7" w:rsidP="00A31DF7">
      <w:pPr>
        <w:numPr>
          <w:ilvl w:val="0"/>
          <w:numId w:val="1"/>
        </w:numPr>
        <w:jc w:val="both"/>
        <w:rPr>
          <w:sz w:val="26"/>
          <w:szCs w:val="26"/>
        </w:rPr>
      </w:pPr>
      <w:r>
        <w:rPr>
          <w:sz w:val="26"/>
          <w:szCs w:val="26"/>
        </w:rPr>
        <w:t>Раздельный контроль снижения напряжения для всех напряжений;</w:t>
      </w:r>
    </w:p>
    <w:p w:rsidR="00A31DF7" w:rsidRDefault="00A31DF7" w:rsidP="00A31DF7">
      <w:pPr>
        <w:numPr>
          <w:ilvl w:val="0"/>
          <w:numId w:val="1"/>
        </w:numPr>
        <w:jc w:val="both"/>
        <w:rPr>
          <w:sz w:val="26"/>
          <w:szCs w:val="26"/>
        </w:rPr>
      </w:pPr>
      <w:r>
        <w:rPr>
          <w:sz w:val="26"/>
          <w:szCs w:val="26"/>
        </w:rPr>
        <w:t>АЧР</w:t>
      </w:r>
      <w:proofErr w:type="gramStart"/>
      <w:r>
        <w:rPr>
          <w:sz w:val="26"/>
          <w:szCs w:val="26"/>
        </w:rPr>
        <w:t>1</w:t>
      </w:r>
      <w:proofErr w:type="gramEnd"/>
      <w:r>
        <w:rPr>
          <w:sz w:val="26"/>
          <w:szCs w:val="26"/>
        </w:rPr>
        <w:t>, АЧР2, аварийно-предупредительная сигнализация;</w:t>
      </w:r>
    </w:p>
    <w:p w:rsidR="00A31DF7" w:rsidRDefault="00A31DF7" w:rsidP="00A31DF7">
      <w:pPr>
        <w:numPr>
          <w:ilvl w:val="0"/>
          <w:numId w:val="1"/>
        </w:numPr>
        <w:jc w:val="both"/>
        <w:rPr>
          <w:sz w:val="26"/>
          <w:szCs w:val="26"/>
        </w:rPr>
      </w:pPr>
      <w:r>
        <w:rPr>
          <w:sz w:val="26"/>
          <w:szCs w:val="26"/>
        </w:rPr>
        <w:t xml:space="preserve">Телеизмерение: напряжение раздельно на 1 и 2 секциях всех напряжений; мощности активной, реактивной, токов по выключателям </w:t>
      </w:r>
      <w:proofErr w:type="gramStart"/>
      <w:r>
        <w:rPr>
          <w:sz w:val="26"/>
          <w:szCs w:val="26"/>
        </w:rPr>
        <w:t>ВЛ</w:t>
      </w:r>
      <w:proofErr w:type="gramEnd"/>
      <w:r>
        <w:rPr>
          <w:sz w:val="26"/>
          <w:szCs w:val="26"/>
        </w:rPr>
        <w:t>, СМВ,  Т-1,  Т-2 со стороны всех напряжений; токов на всех фидерах, мощностей фидеров участвующих в САОН.</w:t>
      </w:r>
    </w:p>
    <w:p w:rsidR="00A31DF7" w:rsidRDefault="00A31DF7" w:rsidP="00A31DF7">
      <w:pPr>
        <w:numPr>
          <w:ilvl w:val="0"/>
          <w:numId w:val="1"/>
        </w:numPr>
        <w:jc w:val="both"/>
        <w:rPr>
          <w:sz w:val="26"/>
          <w:szCs w:val="26"/>
        </w:rPr>
      </w:pPr>
      <w:r>
        <w:rPr>
          <w:sz w:val="26"/>
          <w:szCs w:val="26"/>
        </w:rPr>
        <w:t>Все передаваемые параметры сопровождаются метками времени.</w:t>
      </w:r>
    </w:p>
    <w:p w:rsidR="00A31DF7" w:rsidRDefault="00A31DF7" w:rsidP="00A31DF7">
      <w:pPr>
        <w:numPr>
          <w:ilvl w:val="0"/>
          <w:numId w:val="1"/>
        </w:numPr>
        <w:jc w:val="both"/>
        <w:rPr>
          <w:sz w:val="26"/>
          <w:szCs w:val="26"/>
        </w:rPr>
      </w:pPr>
      <w:r>
        <w:rPr>
          <w:sz w:val="26"/>
          <w:szCs w:val="26"/>
        </w:rPr>
        <w:t>Для цепей ТУ (телеуправление)  применить клеммы  с размыкателями.</w:t>
      </w:r>
    </w:p>
    <w:p w:rsidR="00A31DF7" w:rsidRDefault="00A31DF7" w:rsidP="00A31DF7">
      <w:pPr>
        <w:numPr>
          <w:ilvl w:val="0"/>
          <w:numId w:val="1"/>
        </w:numPr>
        <w:jc w:val="both"/>
        <w:rPr>
          <w:sz w:val="26"/>
          <w:szCs w:val="26"/>
        </w:rPr>
      </w:pPr>
      <w:r>
        <w:rPr>
          <w:sz w:val="26"/>
          <w:szCs w:val="26"/>
        </w:rPr>
        <w:t>Обеспечение связи с двумя ПУ по основному и резервному каналу для каждого направления (не менее чем по четырем портам связи с устройствами верхнего уровня с возможностью организации передачи различных объемов информации).</w:t>
      </w:r>
    </w:p>
    <w:p w:rsidR="009774EF" w:rsidRDefault="009774EF">
      <w:bookmarkStart w:id="0" w:name="_GoBack"/>
      <w:bookmarkEnd w:id="0"/>
    </w:p>
    <w:sectPr w:rsidR="009774E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E7870DA"/>
    <w:multiLevelType w:val="hybridMultilevel"/>
    <w:tmpl w:val="42400558"/>
    <w:lvl w:ilvl="0" w:tplc="8F3C9534">
      <w:start w:val="1"/>
      <w:numFmt w:val="decimal"/>
      <w:lvlText w:val="%1."/>
      <w:lvlJc w:val="left"/>
      <w:pPr>
        <w:ind w:left="720"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5503"/>
    <w:rsid w:val="009774EF"/>
    <w:rsid w:val="00A31DF7"/>
    <w:rsid w:val="00A9550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31DF7"/>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31DF7"/>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526983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905</Words>
  <Characters>5163</Characters>
  <Application>Microsoft Office Word</Application>
  <DocSecurity>0</DocSecurity>
  <Lines>43</Lines>
  <Paragraphs>12</Paragraphs>
  <ScaleCrop>false</ScaleCrop>
  <Company>JSC DRSK</Company>
  <LinksUpToDate>false</LinksUpToDate>
  <CharactersWithSpaces>6056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Коврижкина Елена Юрьевна</dc:creator>
  <cp:keywords/>
  <dc:description/>
  <cp:lastModifiedBy>Коврижкина Елена Юрьевна</cp:lastModifiedBy>
  <cp:revision>2</cp:revision>
  <dcterms:created xsi:type="dcterms:W3CDTF">2018-04-02T04:50:00Z</dcterms:created>
  <dcterms:modified xsi:type="dcterms:W3CDTF">2018-04-02T04:51:00Z</dcterms:modified>
</cp:coreProperties>
</file>