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2</w:t>
      </w:r>
      <w:r w:rsidR="00E41E23">
        <w:rPr>
          <w:rFonts w:ascii="Times New Roman" w:hAnsi="Times New Roman"/>
          <w:bCs w:val="0"/>
          <w:caps/>
          <w:sz w:val="28"/>
          <w:szCs w:val="28"/>
        </w:rPr>
        <w:t>91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785D4C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потребителя ПАО «Газпром» Благовещенского района (с. Верхнеблаговещенское) к сетям 10-0,4 кВ» закупка 2038 раздел 2.1.1. ГКПЗ 2018 г.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785D4C" w:rsidRPr="00785D4C" w:rsidTr="00D93E54">
        <w:tc>
          <w:tcPr>
            <w:tcW w:w="4998" w:type="dxa"/>
          </w:tcPr>
          <w:p w:rsidR="00785D4C" w:rsidRPr="00785D4C" w:rsidRDefault="00785D4C" w:rsidP="00785D4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785D4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785D4C" w:rsidRPr="00785D4C" w:rsidRDefault="00785D4C" w:rsidP="00785D4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785D4C">
              <w:rPr>
                <w:b/>
                <w:snapToGrid/>
                <w:sz w:val="26"/>
                <w:szCs w:val="26"/>
              </w:rPr>
              <w:t xml:space="preserve">ЕИС </w:t>
            </w:r>
            <w:r w:rsidRPr="00785D4C">
              <w:rPr>
                <w:snapToGrid/>
                <w:sz w:val="24"/>
                <w:szCs w:val="24"/>
              </w:rPr>
              <w:t xml:space="preserve">№ </w:t>
            </w:r>
            <w:r w:rsidRPr="00785D4C">
              <w:rPr>
                <w:b/>
                <w:i/>
                <w:snapToGrid/>
                <w:sz w:val="24"/>
                <w:szCs w:val="24"/>
              </w:rPr>
              <w:t>31806189420 (МСП)</w:t>
            </w:r>
          </w:p>
        </w:tc>
        <w:tc>
          <w:tcPr>
            <w:tcW w:w="4999" w:type="dxa"/>
          </w:tcPr>
          <w:p w:rsidR="00785D4C" w:rsidRPr="00785D4C" w:rsidRDefault="00785D4C" w:rsidP="00DF4E5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785D4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F4E5D">
              <w:rPr>
                <w:b/>
                <w:bCs/>
                <w:caps/>
                <w:snapToGrid/>
                <w:sz w:val="26"/>
                <w:szCs w:val="26"/>
              </w:rPr>
              <w:t>10</w:t>
            </w:r>
            <w:bookmarkStart w:id="2" w:name="_GoBack"/>
            <w:bookmarkEnd w:id="2"/>
            <w:r w:rsidRPr="00785D4C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785D4C">
              <w:rPr>
                <w:b/>
                <w:snapToGrid/>
                <w:sz w:val="26"/>
                <w:szCs w:val="26"/>
              </w:rPr>
              <w:t xml:space="preserve">апреля  </w:t>
            </w:r>
            <w:r w:rsidRPr="00785D4C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785D4C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785D4C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785D4C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785D4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785D4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785D4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785D4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785D4C" w:rsidRPr="00785D4C">
        <w:rPr>
          <w:b/>
          <w:i/>
          <w:snapToGrid/>
          <w:color w:val="000000" w:themeColor="text1"/>
          <w:sz w:val="24"/>
          <w:szCs w:val="24"/>
        </w:rPr>
        <w:t>Мероприятия по строительству и реконструкции для технологического присоединения потребителя ПАО «Газпром» Благовещенского района (с. Верхнеблаговещенское) к сетям 10-0,4 кВ</w:t>
      </w:r>
      <w:r w:rsidR="004A0351" w:rsidRPr="00785D4C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567E34" w:rsidRPr="00785D4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B1507C" w:rsidRPr="00785D4C">
        <w:rPr>
          <w:b/>
          <w:i/>
          <w:snapToGrid/>
          <w:color w:val="000000" w:themeColor="text1"/>
          <w:sz w:val="24"/>
          <w:szCs w:val="24"/>
        </w:rPr>
        <w:t>203</w:t>
      </w:r>
      <w:r w:rsidR="00785D4C" w:rsidRPr="00785D4C">
        <w:rPr>
          <w:b/>
          <w:i/>
          <w:snapToGrid/>
          <w:color w:val="000000" w:themeColor="text1"/>
          <w:sz w:val="24"/>
          <w:szCs w:val="24"/>
        </w:rPr>
        <w:t>8</w:t>
      </w: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785D4C">
        <w:rPr>
          <w:b/>
          <w:i/>
          <w:snapToGrid/>
          <w:sz w:val="24"/>
          <w:szCs w:val="24"/>
        </w:rPr>
        <w:t>6 035 486,30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C502C3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C502C3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85D4C" w:rsidRPr="00785D4C" w:rsidRDefault="00785D4C" w:rsidP="00785D4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785D4C">
        <w:rPr>
          <w:bCs/>
          <w:i/>
          <w:iCs/>
          <w:snapToGrid/>
          <w:sz w:val="25"/>
          <w:szCs w:val="25"/>
        </w:rPr>
        <w:t>Об утверждении цен поступивших заявок Участников.</w:t>
      </w:r>
    </w:p>
    <w:p w:rsidR="00785D4C" w:rsidRPr="00785D4C" w:rsidRDefault="00785D4C" w:rsidP="00785D4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785D4C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785D4C">
        <w:rPr>
          <w:rFonts w:eastAsiaTheme="minorHAnsi"/>
          <w:b/>
          <w:i/>
          <w:snapToGrid/>
          <w:sz w:val="25"/>
          <w:szCs w:val="25"/>
          <w:lang w:eastAsia="en-US"/>
        </w:rPr>
        <w:t>ООО «Амурский завод металлических конструкций».</w:t>
      </w:r>
    </w:p>
    <w:p w:rsidR="00785D4C" w:rsidRPr="00785D4C" w:rsidRDefault="00785D4C" w:rsidP="00785D4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785D4C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785D4C">
        <w:rPr>
          <w:rFonts w:eastAsiaTheme="minorHAnsi"/>
          <w:b/>
          <w:i/>
          <w:snapToGrid/>
          <w:sz w:val="25"/>
          <w:szCs w:val="25"/>
          <w:lang w:eastAsia="en-US"/>
        </w:rPr>
        <w:t>ООО  «СтройАльянс».</w:t>
      </w:r>
    </w:p>
    <w:p w:rsidR="00785D4C" w:rsidRPr="00785D4C" w:rsidRDefault="00785D4C" w:rsidP="00785D4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785D4C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785D4C" w:rsidRPr="00785D4C" w:rsidRDefault="00785D4C" w:rsidP="00785D4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785D4C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785D4C" w:rsidRPr="00785D4C" w:rsidRDefault="00785D4C" w:rsidP="00785D4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785D4C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785D4C" w:rsidRPr="00785D4C" w:rsidRDefault="00785D4C" w:rsidP="00785D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5"/>
          <w:szCs w:val="25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785D4C" w:rsidRPr="00785D4C" w:rsidRDefault="00785D4C" w:rsidP="00785D4C">
      <w:pPr>
        <w:pStyle w:val="a9"/>
        <w:tabs>
          <w:tab w:val="left" w:pos="426"/>
        </w:tabs>
        <w:spacing w:line="240" w:lineRule="auto"/>
        <w:ind w:left="360" w:hanging="360"/>
        <w:rPr>
          <w:b/>
          <w:bCs/>
          <w:i/>
          <w:iCs/>
          <w:sz w:val="24"/>
          <w:szCs w:val="24"/>
        </w:rPr>
      </w:pPr>
      <w:r w:rsidRPr="00785D4C">
        <w:rPr>
          <w:b/>
          <w:bCs/>
          <w:i/>
          <w:iCs/>
          <w:sz w:val="24"/>
          <w:szCs w:val="24"/>
        </w:rPr>
        <w:t>ВОПРОС 1 «Об утверждении цен поступивших заявок Участников»</w:t>
      </w:r>
    </w:p>
    <w:p w:rsidR="00BA65C7" w:rsidRPr="00785D4C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785D4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785D4C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785D4C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8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534"/>
        <w:gridCol w:w="1922"/>
        <w:gridCol w:w="1922"/>
        <w:gridCol w:w="1537"/>
      </w:tblGrid>
      <w:tr w:rsidR="00785D4C" w:rsidRPr="00785D4C" w:rsidTr="00D93E54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785D4C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785D4C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785D4C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785D4C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785D4C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785D4C" w:rsidRPr="00785D4C" w:rsidTr="00D93E54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"ГИДРОЭЛЕКТРОМОНТАЖ"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 xml:space="preserve">ИНН/КПП 2801035778/280101001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>ОГРН 1022800513669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6 035 486.30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7 121 873.83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785D4C" w:rsidRPr="00785D4C" w:rsidTr="00D93E54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"ЭК "Светотехника"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 xml:space="preserve">ИНН/КПП 2801193968/280101001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>ОГРН 1142801002167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6 035 486.00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7 121 873.48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785D4C" w:rsidRPr="00785D4C" w:rsidTr="00D93E54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lastRenderedPageBreak/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"СтройАльянс"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 xml:space="preserve">ИНН/КПП 2801171562/280101001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>ОГРН 1122801003819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6 035 486.30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7 121 873.83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785D4C" w:rsidRPr="00785D4C" w:rsidTr="00D93E54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"Амурский завод металлических конструкций"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 xml:space="preserve">ИНН/КПП 2801188870/280101001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>ОГРН 1132801008251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4 593 615.70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5 420 466.53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785D4C" w:rsidRPr="00785D4C" w:rsidTr="00D93E54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"ЭНЕРГОСТРОЙ"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 xml:space="preserve">ИНН/КПП 2801163836/280101001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>ОГРН 1112801006196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4 440 000.00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5 239 200.00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785D4C" w:rsidRPr="00785D4C" w:rsidTr="00D93E54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"Амурсельэнергосетьстрой"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 xml:space="preserve">ИНН/КПП 2801063599/280101001 </w:t>
            </w: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br/>
              <w:t>ОГРН 1022800527826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4 400 000.00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b/>
                <w:i/>
                <w:snapToGrid/>
                <w:sz w:val="22"/>
                <w:szCs w:val="22"/>
                <w:lang w:eastAsia="en-US"/>
              </w:rPr>
              <w:t>5 192 000.00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B1507C" w:rsidRPr="00785D4C" w:rsidRDefault="00B1507C" w:rsidP="00B1507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785D4C">
        <w:rPr>
          <w:b/>
          <w:bCs/>
          <w:i/>
          <w:iCs/>
          <w:snapToGrid/>
          <w:sz w:val="24"/>
          <w:szCs w:val="24"/>
        </w:rPr>
        <w:t>ВОПРОС 2</w:t>
      </w:r>
      <w:r w:rsidRPr="00785D4C">
        <w:rPr>
          <w:bCs/>
          <w:i/>
          <w:iCs/>
          <w:snapToGrid/>
          <w:sz w:val="24"/>
          <w:szCs w:val="24"/>
        </w:rPr>
        <w:t xml:space="preserve"> </w:t>
      </w:r>
      <w:r w:rsidRPr="00785D4C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785D4C">
        <w:rPr>
          <w:rFonts w:eastAsiaTheme="minorHAnsi"/>
          <w:b/>
          <w:i/>
          <w:snapToGrid/>
          <w:sz w:val="24"/>
          <w:szCs w:val="24"/>
          <w:lang w:eastAsia="en-US"/>
        </w:rPr>
        <w:t>ООО «Амурский завод металлических конструкций»</w:t>
      </w:r>
    </w:p>
    <w:p w:rsidR="00785D4C" w:rsidRPr="00785D4C" w:rsidRDefault="00785D4C" w:rsidP="00785D4C">
      <w:pPr>
        <w:spacing w:line="240" w:lineRule="auto"/>
        <w:ind w:firstLine="426"/>
        <w:rPr>
          <w:snapToGrid/>
          <w:sz w:val="24"/>
          <w:szCs w:val="24"/>
        </w:rPr>
      </w:pPr>
      <w:r w:rsidRPr="00785D4C">
        <w:rPr>
          <w:snapToGrid/>
          <w:sz w:val="24"/>
          <w:szCs w:val="24"/>
        </w:rPr>
        <w:t xml:space="preserve">Отклонить заявку Участника </w:t>
      </w:r>
      <w:r w:rsidRPr="00785D4C">
        <w:rPr>
          <w:b/>
          <w:i/>
          <w:sz w:val="24"/>
          <w:szCs w:val="24"/>
        </w:rPr>
        <w:t>ООО «Амурский завод металлических конструкций»</w:t>
      </w:r>
      <w:r w:rsidRPr="00785D4C">
        <w:rPr>
          <w:sz w:val="24"/>
          <w:szCs w:val="24"/>
        </w:rPr>
        <w:t xml:space="preserve"> (ИНН/КПП 2801188870/280101001 ОГРН 1132801008251) от</w:t>
      </w:r>
      <w:r w:rsidRPr="00785D4C">
        <w:rPr>
          <w:snapToGrid/>
          <w:sz w:val="24"/>
          <w:szCs w:val="24"/>
        </w:rPr>
        <w:t xml:space="preserve"> дальнейшего рассмотрения на основании </w:t>
      </w:r>
      <w:r w:rsidRPr="00785D4C">
        <w:rPr>
          <w:bCs/>
          <w:snapToGrid/>
          <w:sz w:val="24"/>
          <w:szCs w:val="24"/>
        </w:rPr>
        <w:t>п. 2.4.2.4.</w:t>
      </w:r>
      <w:r w:rsidRPr="00785D4C">
        <w:rPr>
          <w:snapToGrid/>
          <w:sz w:val="24"/>
          <w:szCs w:val="24"/>
        </w:rPr>
        <w:t xml:space="preserve"> «а, б, в» Документации о закупке и п. 7.6, 7.7, 7.8, 7.9 Технического задания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785D4C" w:rsidRPr="00785D4C" w:rsidTr="00D93E54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4C" w:rsidRPr="00785D4C" w:rsidRDefault="00785D4C" w:rsidP="00785D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785D4C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785D4C" w:rsidRPr="00785D4C" w:rsidTr="00D93E54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4C" w:rsidRPr="00785D4C" w:rsidRDefault="00785D4C" w:rsidP="00785D4C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5D4C">
              <w:rPr>
                <w:snapToGrid/>
                <w:sz w:val="25"/>
                <w:szCs w:val="25"/>
              </w:rPr>
              <w:t xml:space="preserve">В </w:t>
            </w:r>
            <w:r w:rsidRPr="00785D4C">
              <w:rPr>
                <w:snapToGrid/>
                <w:sz w:val="24"/>
                <w:szCs w:val="24"/>
              </w:rPr>
              <w:t>заявке участника отсутствуют:</w:t>
            </w:r>
          </w:p>
          <w:p w:rsidR="00785D4C" w:rsidRPr="00785D4C" w:rsidRDefault="00785D4C" w:rsidP="00785D4C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785D4C">
              <w:rPr>
                <w:snapToGrid/>
                <w:sz w:val="24"/>
                <w:szCs w:val="24"/>
              </w:rPr>
              <w:t>- Документы, подтверждающие наличие необходимых транспортных средств для выполнения работ, что не соответствует п. 7.6 технического задания.</w:t>
            </w:r>
          </w:p>
          <w:p w:rsidR="00785D4C" w:rsidRPr="00785D4C" w:rsidRDefault="00785D4C" w:rsidP="00785D4C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785D4C">
              <w:rPr>
                <w:snapToGrid/>
                <w:sz w:val="24"/>
                <w:szCs w:val="24"/>
              </w:rPr>
              <w:t>- Документы, подтверждающие наличие аккредитованной электротехнической лаборатории, что не соответствует п. 7.7 технического задания.</w:t>
            </w:r>
          </w:p>
          <w:p w:rsidR="00785D4C" w:rsidRPr="00785D4C" w:rsidRDefault="00785D4C" w:rsidP="00785D4C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785D4C">
              <w:rPr>
                <w:snapToGrid/>
                <w:sz w:val="24"/>
                <w:szCs w:val="24"/>
              </w:rPr>
              <w:t>- Документы, подтверждающие квалификацию кадрового состава, что не соответствует п. 7.8 технического задания.</w:t>
            </w:r>
          </w:p>
          <w:p w:rsidR="00785D4C" w:rsidRPr="00785D4C" w:rsidRDefault="00785D4C" w:rsidP="00785D4C">
            <w:pPr>
              <w:suppressAutoHyphens/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785D4C">
              <w:rPr>
                <w:snapToGrid/>
                <w:sz w:val="24"/>
                <w:szCs w:val="24"/>
              </w:rPr>
              <w:t>- Сметные расчеты, что не соответствует п. 7.9 технического задания</w:t>
            </w:r>
          </w:p>
          <w:p w:rsidR="00785D4C" w:rsidRPr="00785D4C" w:rsidRDefault="00785D4C" w:rsidP="00785D4C">
            <w:pPr>
              <w:spacing w:line="240" w:lineRule="auto"/>
              <w:ind w:firstLine="426"/>
              <w:rPr>
                <w:sz w:val="25"/>
                <w:szCs w:val="25"/>
                <w:lang w:eastAsia="en-US"/>
              </w:rPr>
            </w:pPr>
            <w:r w:rsidRPr="00785D4C">
              <w:rPr>
                <w:snapToGrid/>
                <w:sz w:val="24"/>
                <w:szCs w:val="24"/>
              </w:rPr>
              <w:t>-Копия обязательной бухгалтерской (финансовой) отчетности за последний завершенный финансовый год – копию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приеме, что не соответствует п. 2.2.6.1 «з» документации и закупке</w:t>
            </w: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785D4C" w:rsidRPr="00785D4C" w:rsidRDefault="00785D4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85D4C">
        <w:rPr>
          <w:b/>
          <w:bCs/>
          <w:i/>
          <w:iCs/>
          <w:sz w:val="24"/>
          <w:szCs w:val="24"/>
        </w:rPr>
        <w:t>ВОПРОС 3</w:t>
      </w:r>
      <w:r w:rsidRPr="00785D4C">
        <w:rPr>
          <w:bCs/>
          <w:i/>
          <w:iCs/>
          <w:sz w:val="24"/>
          <w:szCs w:val="24"/>
        </w:rPr>
        <w:t xml:space="preserve"> </w:t>
      </w:r>
      <w:r w:rsidRPr="00785D4C">
        <w:rPr>
          <w:b/>
          <w:bCs/>
          <w:i/>
          <w:iCs/>
          <w:sz w:val="24"/>
          <w:szCs w:val="24"/>
        </w:rPr>
        <w:t xml:space="preserve">«Об отклонении заявки участника </w:t>
      </w:r>
      <w:r w:rsidRPr="00785D4C">
        <w:rPr>
          <w:b/>
          <w:bCs/>
          <w:i/>
          <w:sz w:val="24"/>
          <w:szCs w:val="24"/>
        </w:rPr>
        <w:t>ООО «СтройАльянс»</w:t>
      </w:r>
    </w:p>
    <w:p w:rsidR="00785D4C" w:rsidRPr="00785D4C" w:rsidRDefault="00785D4C" w:rsidP="00785D4C">
      <w:pPr>
        <w:spacing w:line="240" w:lineRule="auto"/>
        <w:ind w:firstLine="426"/>
        <w:rPr>
          <w:snapToGrid/>
          <w:sz w:val="24"/>
          <w:szCs w:val="24"/>
        </w:rPr>
      </w:pPr>
      <w:r w:rsidRPr="00785D4C">
        <w:rPr>
          <w:snapToGrid/>
          <w:sz w:val="24"/>
          <w:szCs w:val="24"/>
        </w:rPr>
        <w:t xml:space="preserve">Отклонить заявку Участника </w:t>
      </w:r>
      <w:r w:rsidRPr="00785D4C">
        <w:rPr>
          <w:rFonts w:eastAsiaTheme="minorHAnsi"/>
          <w:b/>
          <w:i/>
          <w:snapToGrid/>
          <w:sz w:val="24"/>
          <w:szCs w:val="24"/>
          <w:lang w:eastAsia="en-US"/>
        </w:rPr>
        <w:t>ООО «</w:t>
      </w:r>
      <w:r w:rsidRPr="00785D4C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>СтройАльянс»</w:t>
      </w:r>
      <w:r w:rsidRPr="00785D4C">
        <w:rPr>
          <w:rFonts w:eastAsiaTheme="minorHAnsi" w:cstheme="minorBidi"/>
          <w:snapToGrid/>
          <w:sz w:val="24"/>
          <w:szCs w:val="24"/>
          <w:lang w:eastAsia="en-US"/>
        </w:rPr>
        <w:t xml:space="preserve"> (ИНН/КПП 2801171562/280101001 ОГРН 1122801003819)</w:t>
      </w:r>
      <w:r w:rsidRPr="00785D4C">
        <w:rPr>
          <w:sz w:val="24"/>
          <w:szCs w:val="24"/>
        </w:rPr>
        <w:t xml:space="preserve"> от</w:t>
      </w:r>
      <w:r w:rsidRPr="00785D4C">
        <w:rPr>
          <w:snapToGrid/>
          <w:sz w:val="24"/>
          <w:szCs w:val="24"/>
        </w:rPr>
        <w:t xml:space="preserve"> дальнейшего рассмотрения на основании </w:t>
      </w:r>
      <w:r w:rsidRPr="00785D4C">
        <w:rPr>
          <w:bCs/>
          <w:snapToGrid/>
          <w:sz w:val="24"/>
          <w:szCs w:val="24"/>
        </w:rPr>
        <w:t>п. 2.4.2.4.</w:t>
      </w:r>
      <w:r w:rsidRPr="00785D4C">
        <w:rPr>
          <w:snapToGrid/>
          <w:sz w:val="24"/>
          <w:szCs w:val="24"/>
        </w:rPr>
        <w:t xml:space="preserve"> «а, б, в» Документации о закупке и п. 7.9 Технического задания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785D4C" w:rsidRPr="00785D4C" w:rsidTr="00D93E54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4C" w:rsidRPr="00785D4C" w:rsidRDefault="00785D4C" w:rsidP="00785D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785D4C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785D4C" w:rsidRPr="00785D4C" w:rsidTr="00D93E54">
        <w:trPr>
          <w:trHeight w:val="6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4C" w:rsidRPr="00785D4C" w:rsidRDefault="00785D4C" w:rsidP="00785D4C">
            <w:pPr>
              <w:spacing w:line="276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785D4C">
              <w:rPr>
                <w:snapToGrid/>
                <w:sz w:val="25"/>
                <w:szCs w:val="25"/>
              </w:rPr>
              <w:t>В заявке участника отсутствуют:</w:t>
            </w:r>
          </w:p>
          <w:p w:rsidR="00785D4C" w:rsidRPr="00785D4C" w:rsidRDefault="00785D4C" w:rsidP="00785D4C">
            <w:pPr>
              <w:suppressAutoHyphens/>
              <w:spacing w:line="240" w:lineRule="auto"/>
              <w:ind w:firstLine="426"/>
              <w:rPr>
                <w:sz w:val="25"/>
                <w:szCs w:val="25"/>
                <w:lang w:eastAsia="en-US"/>
              </w:rPr>
            </w:pPr>
            <w:r w:rsidRPr="00785D4C">
              <w:rPr>
                <w:snapToGrid/>
                <w:sz w:val="25"/>
                <w:szCs w:val="25"/>
              </w:rPr>
              <w:t>- Сметные расчеты, что не соответствует п. 7.9 технического задания</w:t>
            </w:r>
          </w:p>
        </w:tc>
      </w:tr>
    </w:tbl>
    <w:p w:rsidR="00785D4C" w:rsidRDefault="00785D4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502C3" w:rsidRPr="00785D4C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85D4C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785D4C" w:rsidRPr="00785D4C">
        <w:rPr>
          <w:b/>
          <w:bCs/>
          <w:i/>
          <w:iCs/>
          <w:snapToGrid/>
          <w:sz w:val="24"/>
          <w:szCs w:val="24"/>
        </w:rPr>
        <w:t>4</w:t>
      </w:r>
      <w:r w:rsidR="00C502C3" w:rsidRPr="00785D4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785D4C" w:rsidRPr="00785D4C" w:rsidRDefault="00B1507C" w:rsidP="00785D4C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 w:rsidRPr="00785D4C">
        <w:rPr>
          <w:b/>
          <w:sz w:val="24"/>
          <w:szCs w:val="24"/>
        </w:rPr>
        <w:t xml:space="preserve"> </w:t>
      </w:r>
      <w:r w:rsidR="00785D4C" w:rsidRPr="00785D4C">
        <w:rPr>
          <w:b/>
          <w:sz w:val="24"/>
          <w:szCs w:val="24"/>
        </w:rPr>
        <w:t>Признать</w:t>
      </w:r>
      <w:r w:rsidR="00785D4C" w:rsidRPr="00785D4C">
        <w:rPr>
          <w:sz w:val="24"/>
          <w:szCs w:val="24"/>
        </w:rPr>
        <w:t xml:space="preserve"> заявки </w:t>
      </w:r>
      <w:r w:rsidR="00785D4C" w:rsidRPr="00785D4C">
        <w:rPr>
          <w:rFonts w:eastAsiaTheme="minorHAnsi"/>
          <w:b/>
          <w:i/>
          <w:snapToGrid/>
          <w:sz w:val="24"/>
          <w:szCs w:val="24"/>
          <w:lang w:eastAsia="en-US"/>
        </w:rPr>
        <w:t>ООО «ГИДРОЭЛЕКТРОМОНТАЖ»</w:t>
      </w:r>
      <w:r w:rsidR="00785D4C" w:rsidRPr="00785D4C">
        <w:rPr>
          <w:rFonts w:eastAsiaTheme="minorHAnsi"/>
          <w:snapToGrid/>
          <w:sz w:val="24"/>
          <w:szCs w:val="24"/>
          <w:lang w:eastAsia="en-US"/>
        </w:rPr>
        <w:t xml:space="preserve"> (ИНН/КПП 2801035778/280101001 ОГРН 1022800513669), </w:t>
      </w:r>
      <w:r w:rsidR="00785D4C" w:rsidRPr="00785D4C">
        <w:rPr>
          <w:rFonts w:eastAsiaTheme="minorHAnsi"/>
          <w:b/>
          <w:i/>
          <w:snapToGrid/>
          <w:sz w:val="24"/>
          <w:szCs w:val="24"/>
          <w:lang w:eastAsia="en-US"/>
        </w:rPr>
        <w:t>ООО «ЭК «Светотехника»</w:t>
      </w:r>
      <w:r w:rsidR="00785D4C" w:rsidRPr="00785D4C">
        <w:rPr>
          <w:rFonts w:eastAsiaTheme="minorHAnsi"/>
          <w:snapToGrid/>
          <w:sz w:val="24"/>
          <w:szCs w:val="24"/>
          <w:lang w:eastAsia="en-US"/>
        </w:rPr>
        <w:t xml:space="preserve"> (ИНН/КПП 2801193968/280101001 ОГРН 1142801002167), </w:t>
      </w:r>
      <w:r w:rsidR="00785D4C" w:rsidRPr="00785D4C">
        <w:rPr>
          <w:rFonts w:eastAsiaTheme="minorHAnsi"/>
          <w:b/>
          <w:i/>
          <w:snapToGrid/>
          <w:sz w:val="24"/>
          <w:szCs w:val="24"/>
          <w:lang w:eastAsia="en-US"/>
        </w:rPr>
        <w:t>ООО «ЭНЕРГОСТРОЙ»</w:t>
      </w:r>
      <w:r w:rsidR="00785D4C" w:rsidRPr="00785D4C">
        <w:rPr>
          <w:rFonts w:eastAsiaTheme="minorHAnsi"/>
          <w:snapToGrid/>
          <w:sz w:val="24"/>
          <w:szCs w:val="24"/>
          <w:lang w:eastAsia="en-US"/>
        </w:rPr>
        <w:t xml:space="preserve"> (ИНН/КПП 2801163836/280101001 ОГРН 1112801006196), </w:t>
      </w:r>
      <w:r w:rsidR="00785D4C" w:rsidRPr="00785D4C">
        <w:rPr>
          <w:rFonts w:eastAsiaTheme="minorHAnsi"/>
          <w:b/>
          <w:i/>
          <w:snapToGrid/>
          <w:sz w:val="24"/>
          <w:szCs w:val="24"/>
          <w:lang w:eastAsia="en-US"/>
        </w:rPr>
        <w:t>ООО «Амурсельэнергосетьстрой»</w:t>
      </w:r>
      <w:r w:rsidR="00785D4C" w:rsidRPr="00785D4C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785D4C" w:rsidRPr="00785D4C">
        <w:rPr>
          <w:rFonts w:eastAsiaTheme="minorHAnsi"/>
          <w:snapToGrid/>
          <w:sz w:val="24"/>
          <w:szCs w:val="24"/>
          <w:lang w:eastAsia="en-US"/>
        </w:rPr>
        <w:lastRenderedPageBreak/>
        <w:t xml:space="preserve">(ИНН/КПП 2801063599/280101001ОГРН 1022800527826) </w:t>
      </w:r>
      <w:r w:rsidR="00785D4C" w:rsidRPr="00785D4C">
        <w:rPr>
          <w:rFonts w:eastAsiaTheme="minorEastAsia"/>
          <w:snapToGrid/>
          <w:sz w:val="24"/>
          <w:szCs w:val="24"/>
        </w:rPr>
        <w:t>соответствующими</w:t>
      </w:r>
      <w:r w:rsidR="00785D4C" w:rsidRPr="00785D4C">
        <w:rPr>
          <w:sz w:val="24"/>
          <w:szCs w:val="24"/>
        </w:rPr>
        <w:t xml:space="preserve"> условиям Документации о закупке и принять их к дальнейшему рассмотрению.</w:t>
      </w:r>
    </w:p>
    <w:p w:rsidR="00B1507C" w:rsidRPr="00785D4C" w:rsidRDefault="00B1507C" w:rsidP="00785D4C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</w:p>
    <w:p w:rsidR="00C502C3" w:rsidRPr="00785D4C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85D4C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785D4C" w:rsidRPr="00785D4C">
        <w:rPr>
          <w:b/>
          <w:bCs/>
          <w:i/>
          <w:iCs/>
          <w:snapToGrid/>
          <w:sz w:val="24"/>
          <w:szCs w:val="24"/>
        </w:rPr>
        <w:t>5</w:t>
      </w:r>
      <w:r w:rsidRPr="00785D4C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C502C3" w:rsidRPr="00785D4C" w:rsidRDefault="00C502C3" w:rsidP="00C502C3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785D4C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785D4C" w:rsidRPr="00785D4C" w:rsidTr="00D93E54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785D4C" w:rsidRPr="00785D4C" w:rsidRDefault="00785D4C" w:rsidP="00785D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785D4C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785D4C" w:rsidRPr="00785D4C" w:rsidRDefault="00785D4C" w:rsidP="00785D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785D4C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785D4C" w:rsidRPr="00785D4C" w:rsidRDefault="00785D4C" w:rsidP="00785D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785D4C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785D4C" w:rsidRPr="00785D4C" w:rsidRDefault="00785D4C" w:rsidP="00785D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785D4C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785D4C" w:rsidRPr="00785D4C" w:rsidTr="00D93E54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785D4C" w:rsidRPr="00785D4C" w:rsidRDefault="00785D4C" w:rsidP="00785D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suppressAutoHyphens/>
              <w:spacing w:after="200" w:line="240" w:lineRule="auto"/>
              <w:ind w:firstLine="0"/>
              <w:jc w:val="center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"Амурсельэнергосетьстрой" </w:t>
            </w: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br/>
              <w:t xml:space="preserve">ИНН/КПП 2801063599/280101001 </w:t>
            </w: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br/>
              <w:t>ОГРН 1022800527826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suppressAutoHyphens/>
              <w:spacing w:after="200" w:line="240" w:lineRule="auto"/>
              <w:ind w:firstLine="0"/>
              <w:jc w:val="center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4 400 000.00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5D4C" w:rsidRPr="00785D4C" w:rsidRDefault="00785D4C" w:rsidP="00785D4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5D4C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785D4C" w:rsidRPr="00785D4C" w:rsidTr="00D93E54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785D4C" w:rsidRPr="00785D4C" w:rsidRDefault="00785D4C" w:rsidP="00785D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suppressAutoHyphens/>
              <w:spacing w:after="200" w:line="240" w:lineRule="auto"/>
              <w:ind w:firstLine="0"/>
              <w:jc w:val="center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"ЭНЕРГОСТРОЙ" </w:t>
            </w: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br/>
              <w:t xml:space="preserve">ИНН/КПП 2801163836/280101001 </w:t>
            </w: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br/>
              <w:t>ОГРН 1112801006196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suppressAutoHyphens/>
              <w:spacing w:after="200" w:line="240" w:lineRule="auto"/>
              <w:ind w:firstLine="0"/>
              <w:jc w:val="center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4 440 000.00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5D4C" w:rsidRPr="00785D4C" w:rsidRDefault="00785D4C" w:rsidP="00785D4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5D4C">
              <w:rPr>
                <w:b/>
                <w:i/>
                <w:snapToGrid/>
                <w:sz w:val="22"/>
                <w:szCs w:val="22"/>
              </w:rPr>
              <w:t xml:space="preserve">нет    </w:t>
            </w:r>
          </w:p>
        </w:tc>
      </w:tr>
      <w:tr w:rsidR="00785D4C" w:rsidRPr="00785D4C" w:rsidTr="00D93E54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785D4C" w:rsidRPr="00785D4C" w:rsidRDefault="00785D4C" w:rsidP="00785D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suppressAutoHyphens/>
              <w:spacing w:after="200" w:line="240" w:lineRule="auto"/>
              <w:ind w:firstLine="0"/>
              <w:jc w:val="center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"ЭК "Светотехника" </w:t>
            </w: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br/>
              <w:t xml:space="preserve">ИНН/КПП 2801193968/280101001 </w:t>
            </w: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br/>
              <w:t>ОГРН 1142801002167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suppressAutoHyphens/>
              <w:spacing w:after="200" w:line="240" w:lineRule="auto"/>
              <w:ind w:firstLine="0"/>
              <w:jc w:val="center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6 035 486.00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5D4C" w:rsidRPr="00785D4C" w:rsidRDefault="00785D4C" w:rsidP="00785D4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5D4C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785D4C" w:rsidRPr="00785D4C" w:rsidTr="00D93E54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785D4C" w:rsidRPr="00785D4C" w:rsidRDefault="00785D4C" w:rsidP="00785D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5D4C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suppressAutoHyphens/>
              <w:spacing w:after="200" w:line="240" w:lineRule="auto"/>
              <w:ind w:firstLine="0"/>
              <w:jc w:val="center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"ГИДРОЭЛЕКТРОМОНТАЖ" </w:t>
            </w: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br/>
              <w:t xml:space="preserve">ИНН/КПП 2801035778/280101001 </w:t>
            </w: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br/>
              <w:t>ОГРН 1022800513669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C" w:rsidRPr="00785D4C" w:rsidRDefault="00785D4C" w:rsidP="00785D4C">
            <w:pPr>
              <w:suppressAutoHyphens/>
              <w:spacing w:after="200" w:line="240" w:lineRule="auto"/>
              <w:ind w:firstLine="0"/>
              <w:jc w:val="center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785D4C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6 035 486.30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5D4C" w:rsidRPr="00785D4C" w:rsidRDefault="00785D4C" w:rsidP="00785D4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5D4C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785D4C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85D4C">
        <w:rPr>
          <w:b/>
          <w:bCs/>
          <w:i/>
          <w:iCs/>
          <w:snapToGrid/>
          <w:sz w:val="24"/>
          <w:szCs w:val="24"/>
        </w:rPr>
        <w:t>ВОПРОС</w:t>
      </w:r>
      <w:r w:rsidR="00785D4C" w:rsidRPr="00785D4C">
        <w:rPr>
          <w:b/>
          <w:bCs/>
          <w:i/>
          <w:iCs/>
          <w:snapToGrid/>
          <w:sz w:val="24"/>
          <w:szCs w:val="24"/>
        </w:rPr>
        <w:t xml:space="preserve"> 6 </w:t>
      </w:r>
      <w:r w:rsidR="00B1507C" w:rsidRPr="00785D4C">
        <w:rPr>
          <w:b/>
          <w:bCs/>
          <w:i/>
          <w:iCs/>
          <w:snapToGrid/>
          <w:sz w:val="24"/>
          <w:szCs w:val="24"/>
        </w:rPr>
        <w:t xml:space="preserve"> «</w:t>
      </w:r>
      <w:r w:rsidRPr="00785D4C">
        <w:rPr>
          <w:b/>
          <w:bCs/>
          <w:i/>
          <w:iCs/>
          <w:snapToGrid/>
          <w:sz w:val="24"/>
          <w:szCs w:val="24"/>
        </w:rPr>
        <w:t>О выборе победителя открытого запроса цен»</w:t>
      </w:r>
    </w:p>
    <w:p w:rsidR="00C502C3" w:rsidRPr="00785D4C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785D4C" w:rsidRPr="00785D4C" w:rsidRDefault="00785D4C" w:rsidP="00785D4C">
      <w:pPr>
        <w:tabs>
          <w:tab w:val="left" w:pos="426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785D4C">
        <w:rPr>
          <w:b/>
          <w:i/>
          <w:sz w:val="24"/>
          <w:szCs w:val="24"/>
        </w:rPr>
        <w:t>Признать победителем</w:t>
      </w:r>
      <w:r w:rsidRPr="00785D4C">
        <w:rPr>
          <w:sz w:val="24"/>
          <w:szCs w:val="24"/>
        </w:rPr>
        <w:t xml:space="preserve"> открытого запроса цен</w:t>
      </w:r>
      <w:r w:rsidRPr="00785D4C">
        <w:rPr>
          <w:b/>
          <w:i/>
          <w:snapToGrid/>
          <w:sz w:val="24"/>
          <w:szCs w:val="24"/>
        </w:rPr>
        <w:t xml:space="preserve"> «</w:t>
      </w:r>
      <w:r w:rsidRPr="00785D4C">
        <w:rPr>
          <w:rFonts w:eastAsiaTheme="minorHAnsi"/>
          <w:b/>
          <w:i/>
          <w:snapToGrid/>
          <w:sz w:val="24"/>
          <w:szCs w:val="24"/>
          <w:lang w:eastAsia="en-US"/>
        </w:rPr>
        <w:t>Мероприятия по строительству и реконструкции для технологического присоединения потребителя ПАО «Газпром» Благовещенского района (с. Верхнеблаговещенское) к сетям 10-0,4 кВ</w:t>
      </w:r>
      <w:r w:rsidRPr="00785D4C">
        <w:rPr>
          <w:rFonts w:eastAsiaTheme="minorEastAsia"/>
          <w:b/>
          <w:i/>
          <w:snapToGrid/>
          <w:sz w:val="24"/>
          <w:szCs w:val="24"/>
        </w:rPr>
        <w:t>»</w:t>
      </w:r>
      <w:r w:rsidRPr="00785D4C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785D4C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</w:t>
      </w:r>
      <w:r w:rsidRPr="00785D4C">
        <w:rPr>
          <w:i/>
          <w:snapToGrid/>
          <w:sz w:val="24"/>
          <w:szCs w:val="24"/>
        </w:rPr>
        <w:t xml:space="preserve"> </w:t>
      </w:r>
      <w:r w:rsidRPr="00785D4C">
        <w:rPr>
          <w:rFonts w:eastAsiaTheme="minorHAnsi"/>
          <w:b/>
          <w:i/>
          <w:snapToGrid/>
          <w:sz w:val="24"/>
          <w:szCs w:val="24"/>
          <w:lang w:eastAsia="en-US"/>
        </w:rPr>
        <w:t>ООО «Амурсельэнергосетьстрой» (ИНН/КПП 2801063599/280101001 ОГРН 1022800527826):</w:t>
      </w:r>
      <w:r w:rsidRPr="00785D4C">
        <w:rPr>
          <w:sz w:val="24"/>
          <w:szCs w:val="24"/>
        </w:rPr>
        <w:t xml:space="preserve"> на условиях: Цена: 4 400 000,00 руб.  без учета НДС (5 192 000,00 руб. с учетом НДС). Срок выполнения работ: с момента заключения договора по 25 мая 2018 г. Условия оплаты: в течении 30 (тридцати)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выполнения работ, а также на устранения дефектов, возникших по вине Подрядчика, составляет 60 месяцев со дня подписания акта сдачи приемки. Гарантия на материалы и оборудование, поставляемые Подрядчиком не менее 60 месяцев.</w:t>
      </w: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9F1BF4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F4" w:rsidRDefault="009F1BF4" w:rsidP="00355095">
      <w:pPr>
        <w:spacing w:line="240" w:lineRule="auto"/>
      </w:pPr>
      <w:r>
        <w:separator/>
      </w:r>
    </w:p>
  </w:endnote>
  <w:endnote w:type="continuationSeparator" w:id="0">
    <w:p w:rsidR="009F1BF4" w:rsidRDefault="009F1B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4E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4E5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F4" w:rsidRDefault="009F1BF4" w:rsidP="00355095">
      <w:pPr>
        <w:spacing w:line="240" w:lineRule="auto"/>
      </w:pPr>
      <w:r>
        <w:separator/>
      </w:r>
    </w:p>
  </w:footnote>
  <w:footnote w:type="continuationSeparator" w:id="0">
    <w:p w:rsidR="009F1BF4" w:rsidRDefault="009F1B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9F1BF4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4E5D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06644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16</cp:revision>
  <cp:lastPrinted>2017-10-09T02:31:00Z</cp:lastPrinted>
  <dcterms:created xsi:type="dcterms:W3CDTF">2017-10-02T00:55:00Z</dcterms:created>
  <dcterms:modified xsi:type="dcterms:W3CDTF">2018-04-10T00:05:00Z</dcterms:modified>
</cp:coreProperties>
</file>