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5C2" w:rsidRPr="00822B7B" w:rsidRDefault="009335C2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bookmarkStart w:id="0" w:name="_Ref260143994"/>
    </w:p>
    <w:bookmarkEnd w:id="0"/>
    <w:p w:rsidR="006C1C0B" w:rsidRPr="00822B7B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831604" w:rsidRPr="00822B7B" w:rsidRDefault="00C71EFB" w:rsidP="00C71EFB">
      <w:pPr>
        <w:tabs>
          <w:tab w:val="center" w:pos="4818"/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831604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Установка оборудования на ПС 110, 35 </w:t>
      </w:r>
      <w:proofErr w:type="spellStart"/>
      <w:r w:rsidR="00831604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831604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ТП, филиал «АЭС»</w:t>
      </w: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831604" w:rsidRPr="00822B7B" w:rsidRDefault="00831604" w:rsidP="008316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1604" w:rsidRPr="00822B7B" w:rsidRDefault="00C71EFB" w:rsidP="00B8062C">
      <w:pPr>
        <w:widowControl w:val="0"/>
        <w:tabs>
          <w:tab w:val="left" w:pos="720"/>
        </w:tabs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6C1C0B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</w:t>
      </w: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ния строительно-монтажных работ.</w:t>
      </w:r>
    </w:p>
    <w:p w:rsidR="00831604" w:rsidRPr="00822B7B" w:rsidRDefault="00C71EFB" w:rsidP="00C71EFB">
      <w:pPr>
        <w:widowControl w:val="0"/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1.1. И</w:t>
      </w:r>
      <w:r w:rsidR="00831604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нвестиционная программа филиала АО «Дальневосточная распределительная сетевая компания» «Амурские </w:t>
      </w:r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>ЭС» на</w:t>
      </w:r>
      <w:r w:rsidR="00831604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>2018</w:t>
      </w:r>
      <w:r w:rsidR="00831604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6C1C0B" w:rsidRPr="00822B7B" w:rsidRDefault="006C1C0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1C0B" w:rsidRPr="00822B7B" w:rsidRDefault="00C71EF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C17370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C1C0B" w:rsidRPr="00822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требования:</w:t>
      </w:r>
    </w:p>
    <w:p w:rsidR="00822B7B" w:rsidRPr="00822B7B" w:rsidRDefault="00C17370" w:rsidP="00FA610D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A610D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Техническое задание составлено в целях выполнения мероприятий по технологическому присоединению </w:t>
      </w:r>
      <w:proofErr w:type="spellStart"/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энергопринимающих</w:t>
      </w:r>
      <w:proofErr w:type="spellEnd"/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устройств заявителей к электрическим сетям Заказчика</w:t>
      </w:r>
      <w:r w:rsid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заявленной мощностью свыше 100 кВт</w:t>
      </w:r>
      <w:r w:rsidR="00822B7B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путём строительства (реконструкции) объектов электросетевого хозяйства на территории Амурской области.</w:t>
      </w:r>
      <w:r w:rsidR="00FA610D" w:rsidRPr="00822B7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Заказчик планирует заключить с победителем закупки договор на выполнение строительно-монтажных работ по строительству (реконструкции) объектов электросетевого хозяйства на территории ПС 110, 35 </w:t>
      </w:r>
      <w:proofErr w:type="spellStart"/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филиала АО «ДРСК» «Амурские ЭС» (далее – подрядные работы).</w:t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Сроки выполнения работ:</w:t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Начало работ – с момента заключения договора;</w:t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Окончание работ –  31.12.2018 г.</w:t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Планируемый объём выполняемых работ составляет не более 1 800 000,00 руб. без учета НДС на весь срок действия договора. Общий состав работ представлен в п.3 настоящего технического задания.</w:t>
      </w:r>
    </w:p>
    <w:p w:rsidR="00822B7B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Конкретные объёмы выполняемых работ</w:t>
      </w:r>
      <w:r w:rsidR="00CD3509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конструктивные решения</w:t>
      </w: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определяются дополнительными соглашениями к заключенному договору (п. 2.2. Технического задания), оформляемыми Заказчиком по мере возникновения потребности в выполнении подрядных работ.</w:t>
      </w:r>
    </w:p>
    <w:p w:rsidR="00CD3509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Стоимость подрядных работ в оформляемых дополнительных соглашениях определяется </w:t>
      </w:r>
      <w:r w:rsidR="00CD3509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сметным расчётом</w:t>
      </w: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D3509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составленным на основании </w:t>
      </w:r>
      <w:r w:rsidR="009F1512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стоимостей работ,</w:t>
      </w:r>
      <w:r w:rsidR="009F1512" w:rsidRPr="0047151C">
        <w:t xml:space="preserve"> </w:t>
      </w:r>
      <w:r w:rsidR="009F1512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подрядчиком на этапе закупочной процедуры.</w:t>
      </w:r>
    </w:p>
    <w:p w:rsidR="00E30467" w:rsidRPr="0047151C" w:rsidRDefault="00822B7B" w:rsidP="00822B7B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 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в своих заявках дают предложения по стоимост</w:t>
      </w:r>
      <w:r w:rsidR="007D4FE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</w:t>
      </w:r>
      <w:r w:rsidR="0047151C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установку </w:t>
      </w:r>
      <w:r w:rsidR="00FE6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одной </w:t>
      </w:r>
      <w:r w:rsidR="0047151C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линейной ячейки 10 </w:t>
      </w:r>
      <w:proofErr w:type="spellStart"/>
      <w:r w:rsidR="0047151C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r w:rsidR="00FE6A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End"/>
      <w:r w:rsidR="00FE6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</w:t>
      </w:r>
      <w:r w:rsidR="00FE6A6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еделяется на основании локального сметного расчета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заявке Участника не допускается превышение планово</w:t>
      </w:r>
      <w:r w:rsidR="0047151C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151C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стоимости работ </w:t>
      </w:r>
      <w:r w:rsidR="00E30467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№ 1 к Техническому заданию). Предлагаемые Участниками цены на каждые виды работ будут являться существенным условием договора, заключаемого по результатам закупки</w:t>
      </w:r>
    </w:p>
    <w:p w:rsidR="0047151C" w:rsidRPr="0047151C" w:rsidRDefault="0047151C" w:rsidP="00EB74B5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1512" w:rsidRPr="0047151C" w:rsidRDefault="009F1512" w:rsidP="009F1512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Состав и сроки выполнения работ:</w:t>
      </w:r>
    </w:p>
    <w:p w:rsidR="009F1512" w:rsidRPr="0047151C" w:rsidRDefault="009F1512" w:rsidP="009F151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Выполнение строительно-монтажных работ на </w:t>
      </w:r>
      <w:r w:rsidR="00A07109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территории действующей подстанции 110, 35 </w:t>
      </w:r>
      <w:proofErr w:type="spellStart"/>
      <w:r w:rsidR="00A07109"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End"/>
    </w:p>
    <w:p w:rsidR="009F1512" w:rsidRPr="0047151C" w:rsidRDefault="009F1512" w:rsidP="009F151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Срок выполнения строительно-монтажных работ – конкретные сроки выполнения работ определяются дополнительными соглашениями к заключённому договору (п. 2.2. Технического задания).</w:t>
      </w:r>
    </w:p>
    <w:p w:rsidR="009F1512" w:rsidRPr="0047151C" w:rsidRDefault="009F1512" w:rsidP="009F151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Виды работ: строительно-монтажные по строительству и реконструкции.</w:t>
      </w:r>
    </w:p>
    <w:p w:rsidR="009F1512" w:rsidRPr="0047151C" w:rsidRDefault="006C1C0B" w:rsidP="001D0E10">
      <w:pPr>
        <w:widowControl w:val="0"/>
        <w:tabs>
          <w:tab w:val="left" w:pos="4721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9F1512" w:rsidRPr="009F1512" w:rsidRDefault="009F1512" w:rsidP="001D0E10">
      <w:pPr>
        <w:widowControl w:val="0"/>
        <w:tabs>
          <w:tab w:val="left" w:pos="4721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5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Дополнительные к установленным в документации о закупке требования к Участнику и перечень </w:t>
      </w:r>
      <w:r w:rsidRPr="009F15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документов, подтверждающие соответствие Участника установленным дополнительным требованиям.</w:t>
      </w:r>
    </w:p>
    <w:p w:rsidR="009F1512" w:rsidRPr="009F1512" w:rsidRDefault="00D07A96" w:rsidP="009F1512">
      <w:pPr>
        <w:tabs>
          <w:tab w:val="left" w:pos="567"/>
          <w:tab w:val="left" w:pos="1260"/>
          <w:tab w:val="num" w:pos="2160"/>
        </w:tabs>
        <w:spacing w:after="0" w:line="240" w:lineRule="auto"/>
        <w:ind w:left="283"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4.1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. Требования к МТР Участника:</w:t>
      </w:r>
    </w:p>
    <w:p w:rsidR="009F1512" w:rsidRPr="009F1512" w:rsidRDefault="00D07A96" w:rsidP="009F1512">
      <w:pPr>
        <w:tabs>
          <w:tab w:val="left" w:pos="567"/>
        </w:tabs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(далее - МТР) в объеме не менее указанного в таблице 1.</w:t>
      </w:r>
    </w:p>
    <w:p w:rsidR="009F1512" w:rsidRPr="009F1512" w:rsidRDefault="009F1512" w:rsidP="009F1512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after="0" w:line="240" w:lineRule="auto"/>
        <w:ind w:left="283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1.  </w:t>
      </w:r>
    </w:p>
    <w:p w:rsidR="009F1512" w:rsidRPr="009F1512" w:rsidRDefault="009F1512" w:rsidP="00EB74B5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after="120" w:line="240" w:lineRule="auto"/>
        <w:ind w:left="283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Машины и механизмы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500"/>
        <w:gridCol w:w="993"/>
        <w:gridCol w:w="1275"/>
        <w:gridCol w:w="1275"/>
      </w:tblGrid>
      <w:tr w:rsidR="009F1512" w:rsidRPr="00EB74B5" w:rsidTr="00EB74B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EB74B5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0"/>
                <w:tab w:val="left" w:pos="961"/>
                <w:tab w:val="left" w:pos="993"/>
                <w:tab w:val="num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61"/>
                <w:tab w:val="left" w:pos="993"/>
                <w:tab w:val="num" w:pos="2160"/>
              </w:tabs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(не менее штук)*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F1512" w:rsidRPr="00EB74B5" w:rsidTr="00EB74B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hanging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512" w:rsidRPr="00EB74B5" w:rsidTr="00EB74B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hanging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512" w:rsidRPr="00EB74B5" w:rsidTr="00EB74B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hanging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Автомобили бортовые, грузоподъемность от 5 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512" w:rsidRPr="00EB74B5" w:rsidTr="00EB74B5">
        <w:trPr>
          <w:trHeight w:val="1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512" w:rsidRPr="00EB74B5" w:rsidRDefault="0013407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12" w:rsidRPr="00EB74B5" w:rsidRDefault="009F1512" w:rsidP="00EB74B5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 w:line="240" w:lineRule="auto"/>
              <w:ind w:left="28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1512" w:rsidRPr="009F1512" w:rsidRDefault="00134072" w:rsidP="00EB74B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072">
        <w:rPr>
          <w:rFonts w:ascii="Times New Roman" w:eastAsia="Times New Roman" w:hAnsi="Times New Roman" w:cs="Times New Roman"/>
          <w:sz w:val="26"/>
          <w:szCs w:val="26"/>
          <w:lang w:eastAsia="ru-RU"/>
        </w:rPr>
        <w:t>*- определено по ГЭСН, на основании которых составлены сметные расчёты.</w:t>
      </w:r>
    </w:p>
    <w:p w:rsidR="009F1512" w:rsidRPr="009F1512" w:rsidRDefault="00D07A96" w:rsidP="00EB74B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9F1512" w:rsidRPr="009F1512" w:rsidRDefault="00D07A96" w:rsidP="00EB74B5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.2.1. В случае наличия МТР, указанных в таблице 1 на правах собственности: свидетельства о регистрации транспортного средства либо ПТС; 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9F1512" w:rsidRPr="009F1512" w:rsidRDefault="00D07A96" w:rsidP="00EB74B5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.2.2.В случае отсутствия собственных МТР, Участник должен представить копии заверенных Участником документов (по своему усмотрению из перечисленных):</w:t>
      </w:r>
    </w:p>
    <w:p w:rsidR="009F1512" w:rsidRPr="009F1512" w:rsidRDefault="009F1512" w:rsidP="00EB74B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аренды/ договор на оказание услуг машин и механизмов,</w:t>
      </w:r>
    </w:p>
    <w:p w:rsidR="009F1512" w:rsidRPr="009F1512" w:rsidRDefault="009F1512" w:rsidP="00EB74B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9F1512" w:rsidRPr="009F1512" w:rsidRDefault="009F1512" w:rsidP="00EB74B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9F1512" w:rsidRPr="009F1512" w:rsidRDefault="00D07A96" w:rsidP="00EB74B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заверенные Участником копии следующих документов:</w:t>
      </w:r>
    </w:p>
    <w:p w:rsidR="009F1512" w:rsidRPr="009F1512" w:rsidRDefault="00D07A96" w:rsidP="00EB74B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</w:p>
    <w:p w:rsidR="009F1512" w:rsidRPr="009F1512" w:rsidRDefault="00D07A96" w:rsidP="00EB74B5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В 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перечисленных):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 аккредитованной электротехнической лаборатории,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договора на оказание услуг по проведению электроизмерительных работ,</w:t>
      </w:r>
    </w:p>
    <w:p w:rsidR="009F1512" w:rsidRPr="009F1512" w:rsidRDefault="009F1512" w:rsidP="00EB74B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9F1512" w:rsidRPr="009F1512" w:rsidRDefault="00D07A96" w:rsidP="00EB74B5">
      <w:pPr>
        <w:tabs>
          <w:tab w:val="left" w:pos="567"/>
          <w:tab w:val="left" w:pos="1260"/>
          <w:tab w:val="num" w:pos="2160"/>
        </w:tabs>
        <w:spacing w:after="0" w:line="240" w:lineRule="auto"/>
        <w:ind w:left="283"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4.3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. Требования к персоналу Участника:</w:t>
      </w:r>
    </w:p>
    <w:p w:rsidR="009F1512" w:rsidRPr="009F1512" w:rsidRDefault="00D07A96" w:rsidP="00EB74B5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4.3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.1. Участник должен иметь минимально необходимое количество кадровых ресурсов соответствующей квалификации, указанных в таблице 2.</w:t>
      </w:r>
    </w:p>
    <w:p w:rsidR="009F1512" w:rsidRPr="009F1512" w:rsidRDefault="009F1512" w:rsidP="00EB74B5">
      <w:pPr>
        <w:tabs>
          <w:tab w:val="left" w:pos="540"/>
          <w:tab w:val="left" w:pos="56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Таблица 2</w:t>
      </w:r>
    </w:p>
    <w:p w:rsidR="009F1512" w:rsidRDefault="009F1512" w:rsidP="00EB74B5">
      <w:pPr>
        <w:tabs>
          <w:tab w:val="left" w:pos="54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Рабочий персонал</w:t>
      </w:r>
    </w:p>
    <w:tbl>
      <w:tblPr>
        <w:tblW w:w="94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922"/>
        <w:gridCol w:w="789"/>
        <w:gridCol w:w="923"/>
        <w:gridCol w:w="980"/>
        <w:gridCol w:w="863"/>
        <w:gridCol w:w="1022"/>
        <w:gridCol w:w="923"/>
        <w:gridCol w:w="821"/>
        <w:gridCol w:w="1054"/>
      </w:tblGrid>
      <w:tr w:rsidR="00742BA5" w:rsidRPr="00C221D7" w:rsidTr="00EB74B5">
        <w:trPr>
          <w:cantSplit/>
          <w:trHeight w:val="2096"/>
        </w:trPr>
        <w:tc>
          <w:tcPr>
            <w:tcW w:w="1187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№ ЛСР</w:t>
            </w:r>
          </w:p>
        </w:tc>
        <w:tc>
          <w:tcPr>
            <w:tcW w:w="922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Затраты труда рабочих строителей,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чел.ч</w:t>
            </w:r>
            <w:proofErr w:type="spellEnd"/>
          </w:p>
        </w:tc>
        <w:tc>
          <w:tcPr>
            <w:tcW w:w="789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Затраты труда машинистов,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чел.ч</w:t>
            </w:r>
            <w:proofErr w:type="spellEnd"/>
          </w:p>
        </w:tc>
        <w:tc>
          <w:tcPr>
            <w:tcW w:w="923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Итог трудозатраты,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чел.ч</w:t>
            </w:r>
            <w:proofErr w:type="spellEnd"/>
          </w:p>
        </w:tc>
        <w:tc>
          <w:tcPr>
            <w:tcW w:w="980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Продолжительность рабочего дня, час</w:t>
            </w:r>
          </w:p>
        </w:tc>
        <w:tc>
          <w:tcPr>
            <w:tcW w:w="863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Итог трудозатраты,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чел.дн</w:t>
            </w:r>
            <w:proofErr w:type="spellEnd"/>
          </w:p>
        </w:tc>
        <w:tc>
          <w:tcPr>
            <w:tcW w:w="1022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Продолжительность строительства по ТЗ, месяц</w:t>
            </w:r>
          </w:p>
        </w:tc>
        <w:tc>
          <w:tcPr>
            <w:tcW w:w="923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Количество рабочих дней,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дн</w:t>
            </w:r>
            <w:proofErr w:type="spellEnd"/>
          </w:p>
        </w:tc>
        <w:tc>
          <w:tcPr>
            <w:tcW w:w="821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Общее количество дней</w:t>
            </w:r>
          </w:p>
        </w:tc>
        <w:tc>
          <w:tcPr>
            <w:tcW w:w="1054" w:type="dxa"/>
            <w:shd w:val="clear" w:color="auto" w:fill="auto"/>
            <w:textDirection w:val="btLr"/>
          </w:tcPr>
          <w:p w:rsidR="00742BA5" w:rsidRPr="00C221D7" w:rsidRDefault="00742BA5" w:rsidP="00EB74B5">
            <w:pPr>
              <w:tabs>
                <w:tab w:val="num" w:pos="709"/>
              </w:tabs>
              <w:suppressAutoHyphens/>
              <w:spacing w:line="240" w:lineRule="auto"/>
              <w:ind w:left="113" w:right="113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Требуемое кол-во </w:t>
            </w:r>
            <w:proofErr w:type="spellStart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лю-дей</w:t>
            </w:r>
            <w:proofErr w:type="spellEnd"/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 xml:space="preserve"> для производства работ по ТЗ</w:t>
            </w:r>
          </w:p>
        </w:tc>
      </w:tr>
      <w:tr w:rsidR="00742BA5" w:rsidRPr="00C221D7" w:rsidTr="00EB74B5">
        <w:trPr>
          <w:trHeight w:val="219"/>
        </w:trPr>
        <w:tc>
          <w:tcPr>
            <w:tcW w:w="1187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  <w:tc>
          <w:tcPr>
            <w:tcW w:w="789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3</w:t>
            </w:r>
          </w:p>
        </w:tc>
        <w:tc>
          <w:tcPr>
            <w:tcW w:w="923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4</w:t>
            </w:r>
          </w:p>
        </w:tc>
        <w:tc>
          <w:tcPr>
            <w:tcW w:w="980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5</w:t>
            </w:r>
          </w:p>
        </w:tc>
        <w:tc>
          <w:tcPr>
            <w:tcW w:w="863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6</w:t>
            </w:r>
          </w:p>
        </w:tc>
        <w:tc>
          <w:tcPr>
            <w:tcW w:w="1022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7</w:t>
            </w:r>
          </w:p>
        </w:tc>
        <w:tc>
          <w:tcPr>
            <w:tcW w:w="923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8</w:t>
            </w:r>
          </w:p>
        </w:tc>
        <w:tc>
          <w:tcPr>
            <w:tcW w:w="821" w:type="dxa"/>
            <w:shd w:val="clear" w:color="auto" w:fill="auto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9</w:t>
            </w:r>
          </w:p>
        </w:tc>
        <w:tc>
          <w:tcPr>
            <w:tcW w:w="1054" w:type="dxa"/>
            <w:shd w:val="clear" w:color="auto" w:fill="auto"/>
          </w:tcPr>
          <w:p w:rsidR="00742BA5" w:rsidRPr="00C221D7" w:rsidRDefault="00742BA5" w:rsidP="00EB74B5">
            <w:pPr>
              <w:tabs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10</w:t>
            </w:r>
          </w:p>
        </w:tc>
      </w:tr>
      <w:tr w:rsidR="00742BA5" w:rsidRPr="00C221D7" w:rsidTr="0041324F">
        <w:trPr>
          <w:trHeight w:val="498"/>
        </w:trPr>
        <w:tc>
          <w:tcPr>
            <w:tcW w:w="1187" w:type="dxa"/>
            <w:shd w:val="clear" w:color="auto" w:fill="auto"/>
          </w:tcPr>
          <w:p w:rsidR="00742BA5" w:rsidRPr="00C221D7" w:rsidRDefault="00742BA5" w:rsidP="00EB74B5">
            <w:pPr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Установка ячейки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216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217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28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0,5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22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11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742BA5" w:rsidRPr="00C221D7" w:rsidRDefault="00742BA5" w:rsidP="00EB74B5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C221D7">
              <w:rPr>
                <w:rFonts w:ascii="Times New Roman" w:hAnsi="Times New Roman" w:cs="Times New Roman"/>
                <w:color w:val="000000"/>
                <w:spacing w:val="-1"/>
              </w:rPr>
              <w:t>3</w:t>
            </w:r>
          </w:p>
        </w:tc>
      </w:tr>
    </w:tbl>
    <w:p w:rsidR="00742BA5" w:rsidRPr="00C221D7" w:rsidRDefault="00742BA5" w:rsidP="00EB74B5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</w:p>
    <w:p w:rsidR="00742BA5" w:rsidRPr="00C221D7" w:rsidRDefault="00742BA5" w:rsidP="00EB74B5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C221D7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в том числе: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5998"/>
        <w:gridCol w:w="2771"/>
      </w:tblGrid>
      <w:tr w:rsidR="00742BA5" w:rsidRPr="00C221D7" w:rsidTr="0041324F">
        <w:trPr>
          <w:trHeight w:val="467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№</w:t>
            </w:r>
          </w:p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742BA5">
              <w:rPr>
                <w:rFonts w:ascii="Times New Roman" w:eastAsia="Times New Roman" w:hAnsi="Times New Roman" w:cs="Times New Roman"/>
                <w:bCs/>
                <w:lang w:eastAsia="ar-SA"/>
              </w:rPr>
              <w:t>(группа допуска по электробезопасности)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742BA5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Чел</w:t>
            </w:r>
            <w:r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*</w:t>
            </w:r>
          </w:p>
        </w:tc>
      </w:tr>
      <w:tr w:rsidR="00742BA5" w:rsidRPr="00C221D7" w:rsidTr="0041324F">
        <w:trPr>
          <w:trHeight w:val="226"/>
          <w:tblHeader/>
        </w:trPr>
        <w:tc>
          <w:tcPr>
            <w:tcW w:w="72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99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277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</w:tr>
      <w:tr w:rsidR="00742BA5" w:rsidRPr="00C221D7" w:rsidTr="0041324F">
        <w:trPr>
          <w:trHeight w:val="333"/>
        </w:trPr>
        <w:tc>
          <w:tcPr>
            <w:tcW w:w="72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59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2BA5" w:rsidRPr="00C221D7" w:rsidRDefault="00742BA5" w:rsidP="00EB7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Мастер (выдающий наряд, руководитель работ)</w:t>
            </w:r>
            <w:r>
              <w:t xml:space="preserve"> </w:t>
            </w:r>
            <w:r w:rsidRPr="00742BA5">
              <w:t xml:space="preserve">- </w:t>
            </w:r>
            <w:r w:rsidRPr="00742BA5">
              <w:rPr>
                <w:rFonts w:ascii="Times New Roman" w:eastAsia="Times New Roman" w:hAnsi="Times New Roman" w:cs="Times New Roman"/>
                <w:bCs/>
                <w:lang w:eastAsia="ar-SA"/>
              </w:rPr>
              <w:t>5 группа.</w:t>
            </w:r>
          </w:p>
        </w:tc>
        <w:tc>
          <w:tcPr>
            <w:tcW w:w="277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2BA5" w:rsidRPr="00C221D7" w:rsidRDefault="00742BA5" w:rsidP="00EB7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742BA5" w:rsidRPr="00C221D7" w:rsidTr="0041324F">
        <w:trPr>
          <w:trHeight w:val="351"/>
        </w:trPr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5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742BA5" w:rsidRDefault="00742BA5" w:rsidP="00EB7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Электромонтажники</w:t>
            </w:r>
            <w:r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 xml:space="preserve"> -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 xml:space="preserve"> </w:t>
            </w:r>
            <w:r w:rsidRPr="00742BA5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4)</w:t>
            </w:r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</w:tr>
      <w:tr w:rsidR="00742BA5" w:rsidRPr="00C221D7" w:rsidTr="0041324F">
        <w:trPr>
          <w:trHeight w:val="351"/>
        </w:trPr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3.</w:t>
            </w:r>
          </w:p>
        </w:tc>
        <w:tc>
          <w:tcPr>
            <w:tcW w:w="5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Инженер-наладчик</w:t>
            </w:r>
            <w:r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(группа 3-</w:t>
            </w:r>
            <w:r w:rsidRPr="00742BA5">
              <w:rPr>
                <w:rFonts w:ascii="Times New Roman" w:eastAsia="Times New Roman" w:hAnsi="Times New Roman" w:cs="Times New Roman"/>
                <w:bCs/>
                <w:lang w:eastAsia="ar-SA"/>
              </w:rPr>
              <w:t>4)</w:t>
            </w:r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</w:tr>
      <w:tr w:rsidR="00742BA5" w:rsidRPr="00C221D7" w:rsidTr="0041324F">
        <w:trPr>
          <w:trHeight w:val="351"/>
        </w:trPr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Итого:</w:t>
            </w:r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2BA5" w:rsidRPr="00C221D7" w:rsidRDefault="00742BA5" w:rsidP="00EB7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21D7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</w:tr>
    </w:tbl>
    <w:p w:rsidR="0027728B" w:rsidRDefault="00742BA5" w:rsidP="00EB74B5">
      <w:pPr>
        <w:pStyle w:val="af9"/>
        <w:widowControl w:val="0"/>
        <w:shd w:val="clear" w:color="auto" w:fill="FFFFFF"/>
        <w:tabs>
          <w:tab w:val="left" w:pos="993"/>
          <w:tab w:val="left" w:pos="1260"/>
        </w:tabs>
        <w:ind w:left="993"/>
        <w:contextualSpacing/>
        <w:jc w:val="both"/>
        <w:rPr>
          <w:spacing w:val="-1"/>
          <w:sz w:val="26"/>
          <w:szCs w:val="26"/>
        </w:rPr>
      </w:pPr>
      <w:r w:rsidRPr="00C221D7">
        <w:rPr>
          <w:spacing w:val="-1"/>
          <w:sz w:val="26"/>
          <w:szCs w:val="26"/>
        </w:rPr>
        <w:t xml:space="preserve">*- определено по ГЭСН, </w:t>
      </w:r>
      <w:r w:rsidR="0027728B">
        <w:rPr>
          <w:spacing w:val="-1"/>
          <w:sz w:val="26"/>
          <w:szCs w:val="26"/>
        </w:rPr>
        <w:t xml:space="preserve">  </w:t>
      </w:r>
      <w:r w:rsidRPr="00C221D7">
        <w:rPr>
          <w:spacing w:val="-1"/>
          <w:sz w:val="26"/>
          <w:szCs w:val="26"/>
        </w:rPr>
        <w:t xml:space="preserve">на </w:t>
      </w:r>
      <w:r w:rsidR="0027728B">
        <w:rPr>
          <w:spacing w:val="-1"/>
          <w:sz w:val="26"/>
          <w:szCs w:val="26"/>
        </w:rPr>
        <w:t xml:space="preserve">  </w:t>
      </w:r>
      <w:r w:rsidRPr="00C221D7">
        <w:rPr>
          <w:spacing w:val="-1"/>
          <w:sz w:val="26"/>
          <w:szCs w:val="26"/>
        </w:rPr>
        <w:t xml:space="preserve">основании которых </w:t>
      </w:r>
      <w:r w:rsidR="0027728B">
        <w:rPr>
          <w:spacing w:val="-1"/>
          <w:sz w:val="26"/>
          <w:szCs w:val="26"/>
        </w:rPr>
        <w:t xml:space="preserve">  </w:t>
      </w:r>
      <w:r w:rsidRPr="00C221D7">
        <w:rPr>
          <w:spacing w:val="-1"/>
          <w:sz w:val="26"/>
          <w:szCs w:val="26"/>
        </w:rPr>
        <w:t>составлены</w:t>
      </w:r>
      <w:r w:rsidR="0027728B">
        <w:rPr>
          <w:spacing w:val="-1"/>
          <w:sz w:val="26"/>
          <w:szCs w:val="26"/>
        </w:rPr>
        <w:t xml:space="preserve">  </w:t>
      </w:r>
      <w:r w:rsidRPr="00C221D7">
        <w:rPr>
          <w:spacing w:val="-1"/>
          <w:sz w:val="26"/>
          <w:szCs w:val="26"/>
        </w:rPr>
        <w:t xml:space="preserve"> сметные </w:t>
      </w:r>
    </w:p>
    <w:p w:rsidR="00742BA5" w:rsidRPr="00C221D7" w:rsidRDefault="00742BA5" w:rsidP="0027728B">
      <w:pPr>
        <w:pStyle w:val="af9"/>
        <w:widowControl w:val="0"/>
        <w:shd w:val="clear" w:color="auto" w:fill="FFFFFF"/>
        <w:tabs>
          <w:tab w:val="left" w:pos="993"/>
          <w:tab w:val="left" w:pos="1260"/>
        </w:tabs>
        <w:contextualSpacing/>
        <w:jc w:val="both"/>
        <w:rPr>
          <w:spacing w:val="-1"/>
          <w:sz w:val="26"/>
          <w:szCs w:val="26"/>
        </w:rPr>
      </w:pPr>
      <w:r w:rsidRPr="00C221D7">
        <w:rPr>
          <w:spacing w:val="-1"/>
          <w:sz w:val="26"/>
          <w:szCs w:val="26"/>
        </w:rPr>
        <w:t>расчёты.</w:t>
      </w:r>
    </w:p>
    <w:p w:rsidR="009F1512" w:rsidRPr="009F1512" w:rsidRDefault="00D07A96" w:rsidP="00EB74B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4.3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.2. Для подтверждения соответствия требованию п. 4.</w:t>
      </w:r>
      <w:r w:rsid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.1. необходимо предоставить заверенные Участником копии удостоверений по проверке знаний правил работы в электроустановках, в соответствии с п. 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1.5., 2.4., 2.5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</w:p>
    <w:p w:rsidR="009F1512" w:rsidRPr="009F1512" w:rsidRDefault="00D07A96" w:rsidP="00EB74B5">
      <w:pPr>
        <w:tabs>
          <w:tab w:val="left" w:pos="54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4.4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 Весь комплекс строительно-монтажных работ должен выполнятся силами Участника, без привлечения субподрядных организаций</w:t>
      </w:r>
      <w:r w:rsidR="009F1512" w:rsidRPr="009F1512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9F1512" w:rsidRPr="009F1512" w:rsidRDefault="00D07A96" w:rsidP="00EB74B5">
      <w:pPr>
        <w:tabs>
          <w:tab w:val="left" w:pos="54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4.5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составе заявки Участник предоставляет </w:t>
      </w:r>
      <w:r w:rsid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метны</w:t>
      </w:r>
      <w:r w:rsid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</w:t>
      </w:r>
      <w:r w:rsid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составленный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учетом требований раздела 5 настоящего Технического задания.</w:t>
      </w:r>
    </w:p>
    <w:p w:rsidR="009F1512" w:rsidRPr="009F1512" w:rsidRDefault="00D07A96" w:rsidP="004960F8">
      <w:pPr>
        <w:tabs>
          <w:tab w:val="left" w:pos="54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4.6</w:t>
      </w:r>
      <w:r w:rsidR="009F1512" w:rsidRPr="009F151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случае, если по каким-либо причинам Участник закупочной процедуры не может предоставить документ,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9F1512" w:rsidRDefault="009F1512" w:rsidP="004960F8">
      <w:pPr>
        <w:widowControl w:val="0"/>
        <w:tabs>
          <w:tab w:val="left" w:pos="4721"/>
        </w:tabs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1512" w:rsidRDefault="009F1512" w:rsidP="004960F8">
      <w:pPr>
        <w:shd w:val="clear" w:color="auto" w:fill="FFFFFF"/>
        <w:tabs>
          <w:tab w:val="left" w:pos="567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  <w:r w:rsidRPr="009F1512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5. Требования к выполнению сметных расчетов.</w:t>
      </w:r>
    </w:p>
    <w:p w:rsidR="004960F8" w:rsidRPr="009F1512" w:rsidRDefault="004960F8" w:rsidP="004960F8">
      <w:pPr>
        <w:shd w:val="clear" w:color="auto" w:fill="FFFFFF"/>
        <w:tabs>
          <w:tab w:val="left" w:pos="567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</w:p>
    <w:p w:rsidR="00DB5EC8" w:rsidRPr="00DB5EC8" w:rsidRDefault="00DB5EC8" w:rsidP="004960F8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5.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Сметная документация должна соответствовать требованиям методических указаний по опред</w:t>
      </w:r>
      <w:r w:rsidR="004960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елению стоимости строительства </w:t>
      </w:r>
      <w:r w:rsidRPr="009F151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(Методические </w:t>
      </w:r>
      <w:r w:rsidRPr="009F151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lastRenderedPageBreak/>
        <w:t xml:space="preserve">указания по определению сметной стоимости (Приложение №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 к Техническому заданию)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CC27AA"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момент разработки проектной </w:t>
      </w:r>
      <w:r w:rsidR="00CC27AA"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C27AA"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-техническ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; действующи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законодательны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и нормативны</w:t>
      </w:r>
      <w:r w:rsidR="00CC27A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акты к ним.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Сметную документацию  согласно Постановлению Правительства РФ </w:t>
      </w:r>
      <w:hyperlink r:id="rId8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DB5EC8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от 16.02.2008г. № 87</w:t>
        </w:r>
      </w:hyperlink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России).  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5.3.3.1.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Индексы для воздушных  и кабельных линий применяются в соответствии с индексами по объектам строительства: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DB5EC8" w:rsidRPr="00DB5EC8" w:rsidRDefault="00DB5EC8" w:rsidP="004960F8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DB5EC8" w:rsidRDefault="00DB5EC8" w:rsidP="004960F8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5.3.3.2.</w:t>
      </w:r>
      <w:r w:rsidR="004960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Индексы для КТП, ПС применяются в соответствии с индексом «Прочие объекты».</w:t>
      </w:r>
    </w:p>
    <w:p w:rsidR="004960F8" w:rsidRPr="00DB5EC8" w:rsidRDefault="004960F8" w:rsidP="004960F8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5EC8" w:rsidRPr="00DB5EC8" w:rsidRDefault="00DB5EC8" w:rsidP="00DB5EC8">
      <w:pPr>
        <w:tabs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 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DB5EC8" w:rsidRPr="00DB5EC8" w:rsidRDefault="00DB5EC8" w:rsidP="00DB5EC8">
      <w:pPr>
        <w:tabs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5.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vertAlign w:val="superscript"/>
          <w:lang w:eastAsia="ru-RU"/>
        </w:rPr>
        <w:footnoteReference w:id="1"/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 текущем 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 xml:space="preserve">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DB5EC8" w:rsidRPr="00DB5EC8" w:rsidRDefault="00DB5EC8" w:rsidP="00DB5EC8">
      <w:p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5.6.</w:t>
      </w:r>
      <w:r w:rsidR="00D07A9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При использовании в сметах коэффициентов и лимитированных затрат, указывать обоснование</w:t>
      </w:r>
      <w:r w:rsidRPr="00DB5EC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DB5EC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 или других нормативных документов и приложений к ним.</w:t>
      </w:r>
    </w:p>
    <w:p w:rsidR="00DB5EC8" w:rsidRPr="00DB5EC8" w:rsidRDefault="00DB5EC8" w:rsidP="00DB5EC8">
      <w:p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5.7</w:t>
      </w:r>
      <w:r w:rsidR="00D07A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Прогнозная стоимость строительства формируется с учетом  индексов-дефляторов Минэкономразвития РФ. </w:t>
      </w:r>
    </w:p>
    <w:p w:rsidR="00DB5EC8" w:rsidRPr="00DB5EC8" w:rsidRDefault="00DB5EC8" w:rsidP="00DB5EC8">
      <w:p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5.8.</w:t>
      </w:r>
      <w:r w:rsidR="00D07A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EC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B5EC8" w:rsidRPr="00DB5EC8" w:rsidRDefault="00DB5EC8" w:rsidP="00DB5EC8">
      <w:p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5.9</w:t>
      </w:r>
      <w:r w:rsidR="00D07A9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DB5EC8">
        <w:rPr>
          <w:rFonts w:ascii="Times New Roman" w:eastAsia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Pr="00DB5EC8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DB5EC8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DB5EC8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DB5EC8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F1512" w:rsidRDefault="009F1512" w:rsidP="00EB74B5">
      <w:pPr>
        <w:widowControl w:val="0"/>
        <w:tabs>
          <w:tab w:val="left" w:pos="4721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AC1" w:rsidRPr="009C3AC1" w:rsidRDefault="009C3AC1" w:rsidP="00EB74B5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6. Требования к выполнению строительно-монтажных работ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6.1.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-оформление допуска для производства работ в зоне, </w:t>
      </w:r>
      <w:r w:rsidRPr="006C3E3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действующей </w:t>
      </w:r>
      <w:r w:rsidR="001415A8" w:rsidRPr="006C3E32">
        <w:rPr>
          <w:rFonts w:ascii="Times New Roman" w:eastAsia="Times New Roman" w:hAnsi="Times New Roman" w:cs="Times New Roman"/>
          <w:sz w:val="25"/>
          <w:szCs w:val="25"/>
          <w:lang w:eastAsia="ru-RU"/>
        </w:rPr>
        <w:t>ПС</w:t>
      </w: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6.2. </w:t>
      </w:r>
      <w:r w:rsidRPr="006C3E32">
        <w:rPr>
          <w:rFonts w:ascii="Times New Roman" w:eastAsia="Times New Roman" w:hAnsi="Times New Roman" w:cs="Times New Roman"/>
          <w:sz w:val="25"/>
          <w:szCs w:val="25"/>
          <w:lang w:eastAsia="ru-RU"/>
        </w:rPr>
        <w:t>Работы выполнить в соответствии с требованиями государственных надзорных орган</w:t>
      </w: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ПУЭ (действующее издание);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ПТЭ (действующее издание);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 СП 48.13330.2011 «Организация строительства»;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9C3AC1" w:rsidRPr="009C3AC1" w:rsidRDefault="00D07A96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 СП 76.13330.2016</w:t>
      </w:r>
      <w:r w:rsidR="009C3AC1"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«Электротехнические устройства»;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r w:rsidR="00B34D3B" w:rsidRPr="00B34D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 126.13330.2012 </w:t>
      </w: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«Геодезические работы в строительстве»;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РД–11-02-2006 «Требования к исполнительной документации»;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РД–11-05-2007 «Порядок ведения общего журнала работ»;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3AC1">
        <w:rPr>
          <w:rFonts w:ascii="Times New Roman" w:eastAsia="Times New Roman" w:hAnsi="Times New Roman" w:cs="Times New Roman"/>
          <w:sz w:val="25"/>
          <w:szCs w:val="25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Подрядчик ведет исполнительную документацию, где отражается весь ход 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Pr="009C3A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следующем объеме: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Акт сдачи-приемки электромонтажных работ;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Акт технической готовности электромонтажных работ;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 xml:space="preserve">Акт освидетельствования скрытых работ на устройство основания под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оборудование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Протокол измерения сопротивления заземляющего устройства;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Протокол проверки наличия цепи между заземленной установкой и заземлителем;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Лицензия на ВВ лабораторию (копия);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Паспорта и сертификаты на примененные материалы, изделия, оборудование;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Справка об устранении выявленных замечаний (при наличии);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Ордер на производство работ.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Паспорт заземляющего устройства в составе: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 xml:space="preserve">Акт освидетельствования скрытых работ по наружному контуру заземления </w:t>
      </w:r>
      <w:r w:rsidR="00640AA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оборудования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 xml:space="preserve">Акт сдачи-приемки работ по монтажу наружного контура заземления </w:t>
      </w:r>
      <w:r w:rsidR="00640AA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оборудования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9C3AC1" w:rsidRPr="009C3AC1" w:rsidRDefault="009C3AC1" w:rsidP="00EB74B5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  <w:t>Протоколы приемо-сдаточных испытаний согласно ПУЭ;</w:t>
      </w: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ab/>
      </w:r>
    </w:p>
    <w:p w:rsidR="009C3AC1" w:rsidRPr="009C3AC1" w:rsidRDefault="009C3AC1" w:rsidP="00EB74B5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6.4.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«Амурские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9C3AC1" w:rsidRPr="009C3AC1" w:rsidRDefault="009C3AC1" w:rsidP="00EB74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6.5.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персонала», Правил по охране труда при эксплуатации электроустановок, введенных приказом № 328н министерства труда и социальной защиты РФ от 24 июня 2013 г.</w:t>
      </w:r>
    </w:p>
    <w:p w:rsidR="009C3AC1" w:rsidRPr="009C3AC1" w:rsidRDefault="009C3AC1" w:rsidP="00EB74B5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3E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9C3AC1" w:rsidRPr="009C3AC1" w:rsidRDefault="009C3AC1" w:rsidP="00EB74B5">
      <w:pPr>
        <w:shd w:val="clear" w:color="auto" w:fill="FFFFFF"/>
        <w:tabs>
          <w:tab w:val="left" w:pos="567"/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  увеличить или сократить объем любой работы, включенной в Договор; </w:t>
      </w:r>
    </w:p>
    <w:p w:rsidR="009C3AC1" w:rsidRPr="009C3AC1" w:rsidRDefault="009C3AC1" w:rsidP="00EB74B5">
      <w:pPr>
        <w:shd w:val="clear" w:color="auto" w:fill="FFFFFF"/>
        <w:tabs>
          <w:tab w:val="left" w:pos="567"/>
          <w:tab w:val="left" w:pos="993"/>
          <w:tab w:val="left" w:pos="1276"/>
        </w:tabs>
        <w:suppressAutoHyphens/>
        <w:spacing w:after="0"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•   исключить любую работу;</w:t>
      </w:r>
    </w:p>
    <w:p w:rsidR="009C3AC1" w:rsidRPr="009C3AC1" w:rsidRDefault="009C3AC1" w:rsidP="00EB74B5">
      <w:pPr>
        <w:shd w:val="clear" w:color="auto" w:fill="FFFFFF"/>
        <w:tabs>
          <w:tab w:val="left" w:pos="567"/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изменить характер или качество, или вид любой части работы;</w:t>
      </w:r>
    </w:p>
    <w:p w:rsidR="009C3AC1" w:rsidRPr="009C3AC1" w:rsidRDefault="009C3AC1" w:rsidP="00EB74B5">
      <w:pPr>
        <w:shd w:val="clear" w:color="auto" w:fill="FFFFFF"/>
        <w:tabs>
          <w:tab w:val="left" w:pos="567"/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C3AC1" w:rsidRPr="009C3AC1" w:rsidRDefault="009C3AC1" w:rsidP="00EB74B5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3E3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C3AC1">
        <w:rPr>
          <w:rFonts w:ascii="Times New Roman" w:eastAsia="Times New Roman" w:hAnsi="Times New Roman" w:cs="Times New Roman"/>
          <w:sz w:val="26"/>
          <w:szCs w:val="26"/>
          <w:lang w:eastAsia="ru-RU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40AA6" w:rsidRPr="00640AA6" w:rsidRDefault="00640AA6" w:rsidP="0027728B">
      <w:pPr>
        <w:suppressAutoHyphens/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640AA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7. Основные требования к качеству поставляемых материально-технических ресурсов</w:t>
      </w:r>
      <w:r w:rsidR="0027728B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.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Поставку материалов и оборудования на объект, разгрузку и хранение материалов и конструкций осуществляет Подрядчик</w:t>
      </w:r>
      <w:r w:rsidR="003334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3347A" w:rsidRPr="00433F0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иное не определено дополнительными соглашениями к заключенному договору (п. 2.2. Технического задания)</w:t>
      </w:r>
      <w:r w:rsidRPr="00433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Перечень оборудования, марку, тип и производителя материалов </w:t>
      </w: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согласовать с Заказчиком.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640AA6" w:rsidRPr="00640AA6" w:rsidRDefault="00640AA6" w:rsidP="00D07A9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Требования к сертификации продукции. 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40AA6" w:rsidRPr="00640AA6" w:rsidRDefault="00640AA6" w:rsidP="00EB74B5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40AA6" w:rsidRPr="00640AA6" w:rsidRDefault="00640AA6" w:rsidP="00EB74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7.4.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640AA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эксплуатации).</w:t>
      </w:r>
    </w:p>
    <w:p w:rsidR="0027728B" w:rsidRDefault="0027728B" w:rsidP="00EB74B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0AA6" w:rsidRDefault="00640AA6" w:rsidP="00EB74B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 Гарантии Подрядчика</w:t>
      </w:r>
    </w:p>
    <w:p w:rsidR="002371C5" w:rsidRPr="002371C5" w:rsidRDefault="002371C5" w:rsidP="00433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2371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лет.</w:t>
      </w:r>
    </w:p>
    <w:p w:rsidR="002371C5" w:rsidRPr="002371C5" w:rsidRDefault="002371C5" w:rsidP="00433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2371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640AA6" w:rsidRPr="00640AA6" w:rsidRDefault="002371C5" w:rsidP="00433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2371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.3. Гарантийный срок начинает течь с даты подписания Сторонами Акта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</w:t>
      </w:r>
      <w:r w:rsidRPr="002371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КС-11 либо с даты прекращения (расторжения) Договора.</w:t>
      </w:r>
    </w:p>
    <w:p w:rsidR="0027728B" w:rsidRDefault="0027728B" w:rsidP="00EB74B5">
      <w:pPr>
        <w:suppressAutoHyphens/>
        <w:spacing w:after="0"/>
        <w:ind w:right="-16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0AA6" w:rsidRDefault="00640AA6" w:rsidP="00EB74B5">
      <w:pPr>
        <w:suppressAutoHyphens/>
        <w:spacing w:after="0"/>
        <w:ind w:right="-16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Общие условия приемки выполненных работ</w:t>
      </w:r>
    </w:p>
    <w:p w:rsidR="00640AA6" w:rsidRPr="00640AA6" w:rsidRDefault="00640AA6" w:rsidP="00EB74B5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Заказчик имеет право осуществлять контроль состава, качества и объёмов выполняемых работ. </w:t>
      </w:r>
    </w:p>
    <w:p w:rsidR="00640AA6" w:rsidRPr="00640AA6" w:rsidRDefault="00640AA6" w:rsidP="00433F02">
      <w:pPr>
        <w:suppressAutoHyphens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640AA6" w:rsidRPr="00640AA6" w:rsidRDefault="00640AA6" w:rsidP="00433F02">
      <w:pPr>
        <w:suppressAutoHyphens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</w:t>
      </w:r>
      <w:r w:rsidR="00433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ация оформляется в соответствии </w:t>
      </w: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с требованиями ВСН 123-90 «Инструкция по оформлению приемо-сдаточной документации по электромонтажным работам».</w:t>
      </w:r>
    </w:p>
    <w:p w:rsidR="00640AA6" w:rsidRPr="00640AA6" w:rsidRDefault="00640AA6" w:rsidP="00433F02">
      <w:pPr>
        <w:suppressAutoHyphens/>
        <w:autoSpaceDE w:val="0"/>
        <w:autoSpaceDN w:val="0"/>
        <w:adjustRightInd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9.4. Подрядчик предоставляет отдельные акты выполненных работ, оформленные по форме КС-2, по отдельным объектам. Фактическое выполнение подтверждается фотоотчетом.</w:t>
      </w:r>
    </w:p>
    <w:p w:rsidR="00640AA6" w:rsidRPr="00640AA6" w:rsidRDefault="0027728B" w:rsidP="00433F02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9.5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Руководителем организации Участника письменным указанием должно быть оформлено предоставление его работникам прав:</w:t>
      </w:r>
    </w:p>
    <w:p w:rsidR="00640AA6" w:rsidRPr="00640AA6" w:rsidRDefault="00433F02" w:rsidP="00433F02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640AA6" w:rsidRPr="00640AA6" w:rsidRDefault="00433F02" w:rsidP="00433F02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640AA6" w:rsidRPr="00640AA6" w:rsidRDefault="00433F02" w:rsidP="00433F02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640AA6" w:rsidRPr="00640AA6" w:rsidRDefault="00433F02" w:rsidP="00433F02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бригады;</w:t>
      </w:r>
    </w:p>
    <w:p w:rsidR="00640AA6" w:rsidRPr="00640AA6" w:rsidRDefault="00433F02" w:rsidP="00433F02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удостоверении);</w:t>
      </w:r>
    </w:p>
    <w:p w:rsidR="00640AA6" w:rsidRPr="00640AA6" w:rsidRDefault="0027728B" w:rsidP="00433F02">
      <w:pPr>
        <w:widowControl w:val="0"/>
        <w:tabs>
          <w:tab w:val="left" w:pos="567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9.6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640AA6" w:rsidRPr="00640AA6" w:rsidRDefault="0027728B" w:rsidP="00433F02">
      <w:pPr>
        <w:widowControl w:val="0"/>
        <w:tabs>
          <w:tab w:val="left" w:pos="567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9.7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работе на высоте (Приказ Минтруда России №155н от 28 марта 2014 г);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безопасности при работе с инструментами и приспособлениями          (СО 153-34.03-204);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(СО 153-34.03.603-2003);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технической эксплуатации электрических станций и сетей РФ          (СО 153-34.20.501-2003);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пожарной безопасности для энергетических предприятий                  (СО 34.03.301-00);</w:t>
      </w:r>
    </w:p>
    <w:p w:rsidR="00640AA6" w:rsidRPr="00640AA6" w:rsidRDefault="00433F02" w:rsidP="00433F02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640AA6" w:rsidRPr="00640AA6" w:rsidRDefault="00433F02" w:rsidP="00EB74B5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640AA6" w:rsidRPr="00640AA6" w:rsidRDefault="00433F02" w:rsidP="00EB74B5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устройства и безопасной эксплуатации грузоподъемных кранов         ПБ 10-382-00.    </w:t>
      </w:r>
    </w:p>
    <w:p w:rsidR="00640AA6" w:rsidRPr="00640AA6" w:rsidRDefault="00640AA6" w:rsidP="00EB74B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AA6" w:rsidRPr="00640AA6" w:rsidRDefault="00640AA6" w:rsidP="00EB74B5">
      <w:pPr>
        <w:widowControl w:val="0"/>
        <w:tabs>
          <w:tab w:val="left" w:pos="90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i/>
          <w:spacing w:val="-2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b/>
          <w:i/>
          <w:spacing w:val="-2"/>
          <w:sz w:val="26"/>
          <w:szCs w:val="26"/>
          <w:lang w:eastAsia="ru-RU"/>
        </w:rPr>
        <w:t xml:space="preserve">Приложение: </w:t>
      </w:r>
    </w:p>
    <w:p w:rsidR="00640AA6" w:rsidRPr="00640AA6" w:rsidRDefault="00B34D3B" w:rsidP="00EB74B5">
      <w:pPr>
        <w:widowControl w:val="0"/>
        <w:numPr>
          <w:ilvl w:val="0"/>
          <w:numId w:val="22"/>
        </w:numPr>
        <w:tabs>
          <w:tab w:val="left" w:pos="900"/>
          <w:tab w:val="left" w:pos="1080"/>
        </w:tabs>
        <w:spacing w:after="0"/>
        <w:ind w:firstLine="93"/>
        <w:contextualSpacing/>
        <w:jc w:val="both"/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</w:pPr>
      <w:r w:rsidRPr="00B34D3B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В</w:t>
      </w:r>
      <w:r w:rsidR="00640AA6" w:rsidRPr="00640AA6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едомость</w:t>
      </w:r>
      <w:r w:rsidRPr="00B34D3B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работ,</w:t>
      </w:r>
      <w:r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="00640AA6" w:rsidRPr="00640AA6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с приложением ЛСР</w:t>
      </w:r>
      <w:r w:rsidR="000720B0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.;</w:t>
      </w:r>
    </w:p>
    <w:p w:rsidR="00640AA6" w:rsidRPr="00640AA6" w:rsidRDefault="00640AA6" w:rsidP="00EB74B5">
      <w:pPr>
        <w:widowControl w:val="0"/>
        <w:numPr>
          <w:ilvl w:val="0"/>
          <w:numId w:val="22"/>
        </w:numPr>
        <w:tabs>
          <w:tab w:val="left" w:pos="900"/>
          <w:tab w:val="left" w:pos="1080"/>
        </w:tabs>
        <w:spacing w:after="0"/>
        <w:ind w:firstLine="93"/>
        <w:jc w:val="both"/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</w:pPr>
      <w:r w:rsidRPr="00640AA6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Методические указания по</w:t>
      </w:r>
      <w:r w:rsidR="000720B0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определению сметной </w:t>
      </w:r>
      <w:bookmarkStart w:id="1" w:name="_GoBack"/>
      <w:bookmarkEnd w:id="1"/>
      <w:r w:rsidR="0019339C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>стоимости.</w:t>
      </w:r>
    </w:p>
    <w:p w:rsidR="00640AA6" w:rsidRDefault="00640AA6" w:rsidP="001D0E10">
      <w:pPr>
        <w:widowControl w:val="0"/>
        <w:tabs>
          <w:tab w:val="left" w:pos="4721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A7A" w:rsidRPr="00822B7B" w:rsidRDefault="00114A7A" w:rsidP="00C221D7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4A7A" w:rsidRPr="00822B7B" w:rsidRDefault="00114A7A" w:rsidP="00C221D7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14A7A" w:rsidRPr="00822B7B" w:rsidRDefault="00114A7A" w:rsidP="00C221D7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114A7A" w:rsidRPr="00822B7B" w:rsidSect="00114A7A">
      <w:pgSz w:w="11906" w:h="16838"/>
      <w:pgMar w:top="964" w:right="991" w:bottom="964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46" w:rsidRDefault="00780946">
      <w:pPr>
        <w:spacing w:after="0" w:line="240" w:lineRule="auto"/>
      </w:pPr>
      <w:r>
        <w:separator/>
      </w:r>
    </w:p>
  </w:endnote>
  <w:endnote w:type="continuationSeparator" w:id="0">
    <w:p w:rsidR="00780946" w:rsidRDefault="0078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46" w:rsidRDefault="00780946">
      <w:pPr>
        <w:spacing w:after="0" w:line="240" w:lineRule="auto"/>
      </w:pPr>
      <w:r>
        <w:separator/>
      </w:r>
    </w:p>
  </w:footnote>
  <w:footnote w:type="continuationSeparator" w:id="0">
    <w:p w:rsidR="00780946" w:rsidRDefault="00780946">
      <w:pPr>
        <w:spacing w:after="0" w:line="240" w:lineRule="auto"/>
      </w:pPr>
      <w:r>
        <w:continuationSeparator/>
      </w:r>
    </w:p>
  </w:footnote>
  <w:footnote w:id="1">
    <w:p w:rsidR="00D07A96" w:rsidRPr="00D07A96" w:rsidRDefault="00D07A96" w:rsidP="00D07A96">
      <w:pPr>
        <w:spacing w:after="0" w:line="240" w:lineRule="auto"/>
        <w:jc w:val="both"/>
        <w:rPr>
          <w:sz w:val="20"/>
          <w:szCs w:val="20"/>
        </w:rPr>
      </w:pPr>
      <w:r w:rsidRPr="00D07A96">
        <w:rPr>
          <w:sz w:val="20"/>
          <w:szCs w:val="20"/>
          <w:vertAlign w:val="superscript"/>
        </w:rPr>
        <w:footnoteRef/>
      </w:r>
      <w:r w:rsidRPr="00D07A96">
        <w:rPr>
          <w:sz w:val="20"/>
          <w:szCs w:val="20"/>
        </w:rPr>
        <w:t xml:space="preserve"> 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DB5EC8" w:rsidRDefault="00DB5EC8" w:rsidP="00DB5EC8">
      <w:pPr>
        <w:pStyle w:val="af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8C76C0"/>
    <w:multiLevelType w:val="hybridMultilevel"/>
    <w:tmpl w:val="CCFEE44C"/>
    <w:lvl w:ilvl="0" w:tplc="0419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2" w15:restartNumberingAfterBreak="0">
    <w:nsid w:val="0E700BA1"/>
    <w:multiLevelType w:val="multilevel"/>
    <w:tmpl w:val="BC0251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3" w15:restartNumberingAfterBreak="0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596443"/>
    <w:multiLevelType w:val="hybridMultilevel"/>
    <w:tmpl w:val="5932469C"/>
    <w:lvl w:ilvl="0" w:tplc="FEAA7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7C46E21"/>
    <w:multiLevelType w:val="hybridMultilevel"/>
    <w:tmpl w:val="80B63FD4"/>
    <w:lvl w:ilvl="0" w:tplc="FEAA7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D086017"/>
    <w:multiLevelType w:val="hybridMultilevel"/>
    <w:tmpl w:val="C7DE022E"/>
    <w:lvl w:ilvl="0" w:tplc="883CE03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28423247"/>
    <w:multiLevelType w:val="multilevel"/>
    <w:tmpl w:val="091E484E"/>
    <w:lvl w:ilvl="0">
      <w:start w:val="10"/>
      <w:numFmt w:val="decimal"/>
      <w:lvlText w:val="%1."/>
      <w:lvlJc w:val="left"/>
      <w:pPr>
        <w:ind w:left="123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9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1D4328"/>
    <w:multiLevelType w:val="hybridMultilevel"/>
    <w:tmpl w:val="3F5C3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C6747"/>
    <w:multiLevelType w:val="multilevel"/>
    <w:tmpl w:val="773827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16" w15:restartNumberingAfterBreak="0">
    <w:nsid w:val="55026593"/>
    <w:multiLevelType w:val="multilevel"/>
    <w:tmpl w:val="9A52A9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 w15:restartNumberingAfterBreak="0">
    <w:nsid w:val="6E7A1412"/>
    <w:multiLevelType w:val="hybridMultilevel"/>
    <w:tmpl w:val="479A6C42"/>
    <w:lvl w:ilvl="0" w:tplc="FEAA7024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8" w15:restartNumberingAfterBreak="0">
    <w:nsid w:val="714F3FE7"/>
    <w:multiLevelType w:val="hybridMultilevel"/>
    <w:tmpl w:val="B1DA6460"/>
    <w:lvl w:ilvl="0" w:tplc="FEAA7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9"/>
  </w:num>
  <w:num w:numId="5">
    <w:abstractNumId w:val="15"/>
  </w:num>
  <w:num w:numId="6">
    <w:abstractNumId w:val="13"/>
  </w:num>
  <w:num w:numId="7">
    <w:abstractNumId w:val="19"/>
  </w:num>
  <w:num w:numId="8">
    <w:abstractNumId w:val="4"/>
  </w:num>
  <w:num w:numId="9">
    <w:abstractNumId w:val="5"/>
  </w:num>
  <w:num w:numId="10">
    <w:abstractNumId w:val="17"/>
  </w:num>
  <w:num w:numId="11">
    <w:abstractNumId w:val="18"/>
  </w:num>
  <w:num w:numId="12">
    <w:abstractNumId w:val="18"/>
  </w:num>
  <w:num w:numId="13">
    <w:abstractNumId w:val="5"/>
  </w:num>
  <w:num w:numId="14">
    <w:abstractNumId w:val="4"/>
  </w:num>
  <w:num w:numId="15">
    <w:abstractNumId w:val="20"/>
  </w:num>
  <w:num w:numId="16">
    <w:abstractNumId w:val="8"/>
  </w:num>
  <w:num w:numId="17">
    <w:abstractNumId w:val="7"/>
  </w:num>
  <w:num w:numId="18">
    <w:abstractNumId w:val="14"/>
  </w:num>
  <w:num w:numId="19">
    <w:abstractNumId w:val="1"/>
  </w:num>
  <w:num w:numId="20">
    <w:abstractNumId w:val="11"/>
  </w:num>
  <w:num w:numId="21">
    <w:abstractNumId w:val="3"/>
  </w:num>
  <w:num w:numId="22">
    <w:abstractNumId w:val="0"/>
  </w:num>
  <w:num w:numId="23">
    <w:abstractNumId w:val="12"/>
  </w:num>
  <w:num w:numId="2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6EA"/>
    <w:rsid w:val="00005B2E"/>
    <w:rsid w:val="00007B01"/>
    <w:rsid w:val="00010D3F"/>
    <w:rsid w:val="000172AE"/>
    <w:rsid w:val="0001754D"/>
    <w:rsid w:val="00017F18"/>
    <w:rsid w:val="00022BD0"/>
    <w:rsid w:val="00024E10"/>
    <w:rsid w:val="00027AFA"/>
    <w:rsid w:val="00037386"/>
    <w:rsid w:val="00041DFA"/>
    <w:rsid w:val="0004351D"/>
    <w:rsid w:val="00047572"/>
    <w:rsid w:val="00056B54"/>
    <w:rsid w:val="0006513A"/>
    <w:rsid w:val="00067DD6"/>
    <w:rsid w:val="000720B0"/>
    <w:rsid w:val="000833AE"/>
    <w:rsid w:val="00096F65"/>
    <w:rsid w:val="00097287"/>
    <w:rsid w:val="00097D8C"/>
    <w:rsid w:val="000A2953"/>
    <w:rsid w:val="000A5B32"/>
    <w:rsid w:val="000C73AA"/>
    <w:rsid w:val="000C7527"/>
    <w:rsid w:val="000D33CD"/>
    <w:rsid w:val="000E5ABC"/>
    <w:rsid w:val="0010499E"/>
    <w:rsid w:val="0010774C"/>
    <w:rsid w:val="00114A7A"/>
    <w:rsid w:val="00123611"/>
    <w:rsid w:val="001304E4"/>
    <w:rsid w:val="00134072"/>
    <w:rsid w:val="001377A1"/>
    <w:rsid w:val="001415A8"/>
    <w:rsid w:val="001434A0"/>
    <w:rsid w:val="00153734"/>
    <w:rsid w:val="00160AFF"/>
    <w:rsid w:val="001655D0"/>
    <w:rsid w:val="00173120"/>
    <w:rsid w:val="0019339C"/>
    <w:rsid w:val="0019501A"/>
    <w:rsid w:val="001A0C35"/>
    <w:rsid w:val="001A1542"/>
    <w:rsid w:val="001A4770"/>
    <w:rsid w:val="001A5D16"/>
    <w:rsid w:val="001B1E09"/>
    <w:rsid w:val="001B6C11"/>
    <w:rsid w:val="001C7E75"/>
    <w:rsid w:val="001D0E10"/>
    <w:rsid w:val="001D1AB0"/>
    <w:rsid w:val="001D6E5F"/>
    <w:rsid w:val="001E0285"/>
    <w:rsid w:val="001E390D"/>
    <w:rsid w:val="001E64AD"/>
    <w:rsid w:val="001E74E7"/>
    <w:rsid w:val="001F1727"/>
    <w:rsid w:val="001F4690"/>
    <w:rsid w:val="002060C4"/>
    <w:rsid w:val="00206F93"/>
    <w:rsid w:val="00213CF8"/>
    <w:rsid w:val="002171CF"/>
    <w:rsid w:val="00225E83"/>
    <w:rsid w:val="002364DF"/>
    <w:rsid w:val="002371C5"/>
    <w:rsid w:val="002519E5"/>
    <w:rsid w:val="00256BE6"/>
    <w:rsid w:val="00261D24"/>
    <w:rsid w:val="0026643D"/>
    <w:rsid w:val="0027728B"/>
    <w:rsid w:val="002874F6"/>
    <w:rsid w:val="00291852"/>
    <w:rsid w:val="002A06DB"/>
    <w:rsid w:val="002B2549"/>
    <w:rsid w:val="002D41B8"/>
    <w:rsid w:val="002E26B2"/>
    <w:rsid w:val="00301082"/>
    <w:rsid w:val="00302ABC"/>
    <w:rsid w:val="00303121"/>
    <w:rsid w:val="0030353C"/>
    <w:rsid w:val="00320187"/>
    <w:rsid w:val="00323F51"/>
    <w:rsid w:val="00327129"/>
    <w:rsid w:val="00330C99"/>
    <w:rsid w:val="0033347A"/>
    <w:rsid w:val="00346E81"/>
    <w:rsid w:val="0034702A"/>
    <w:rsid w:val="003730AF"/>
    <w:rsid w:val="00376B9B"/>
    <w:rsid w:val="003A3353"/>
    <w:rsid w:val="003C01F8"/>
    <w:rsid w:val="003C7332"/>
    <w:rsid w:val="003D4679"/>
    <w:rsid w:val="003E0923"/>
    <w:rsid w:val="003E458B"/>
    <w:rsid w:val="003F0245"/>
    <w:rsid w:val="003F23F3"/>
    <w:rsid w:val="004039B9"/>
    <w:rsid w:val="00415AC9"/>
    <w:rsid w:val="004306F9"/>
    <w:rsid w:val="00433612"/>
    <w:rsid w:val="00433F02"/>
    <w:rsid w:val="00435F07"/>
    <w:rsid w:val="00437686"/>
    <w:rsid w:val="00440E86"/>
    <w:rsid w:val="00444057"/>
    <w:rsid w:val="004566D0"/>
    <w:rsid w:val="0046074F"/>
    <w:rsid w:val="00465EA8"/>
    <w:rsid w:val="0047151C"/>
    <w:rsid w:val="00480589"/>
    <w:rsid w:val="00480AE6"/>
    <w:rsid w:val="004960F8"/>
    <w:rsid w:val="004A0C74"/>
    <w:rsid w:val="004A0FED"/>
    <w:rsid w:val="004A126F"/>
    <w:rsid w:val="004A1E81"/>
    <w:rsid w:val="004A29D3"/>
    <w:rsid w:val="004A3BBD"/>
    <w:rsid w:val="004A4FA2"/>
    <w:rsid w:val="004A692C"/>
    <w:rsid w:val="004B4C55"/>
    <w:rsid w:val="004D0BCA"/>
    <w:rsid w:val="004E231D"/>
    <w:rsid w:val="004F2B9F"/>
    <w:rsid w:val="004F5EF8"/>
    <w:rsid w:val="004F74EB"/>
    <w:rsid w:val="005035FA"/>
    <w:rsid w:val="00510A04"/>
    <w:rsid w:val="00517F97"/>
    <w:rsid w:val="00524227"/>
    <w:rsid w:val="00536F16"/>
    <w:rsid w:val="00537A69"/>
    <w:rsid w:val="00556BC5"/>
    <w:rsid w:val="00557F81"/>
    <w:rsid w:val="00563A90"/>
    <w:rsid w:val="00566FE0"/>
    <w:rsid w:val="00585265"/>
    <w:rsid w:val="00595B78"/>
    <w:rsid w:val="005A2F7D"/>
    <w:rsid w:val="005A6B65"/>
    <w:rsid w:val="005B26B9"/>
    <w:rsid w:val="005B32A8"/>
    <w:rsid w:val="005C6991"/>
    <w:rsid w:val="005E20A7"/>
    <w:rsid w:val="00600C14"/>
    <w:rsid w:val="006140FE"/>
    <w:rsid w:val="00614DA2"/>
    <w:rsid w:val="00621CEE"/>
    <w:rsid w:val="0063073A"/>
    <w:rsid w:val="00631AFA"/>
    <w:rsid w:val="0063396C"/>
    <w:rsid w:val="00635A4F"/>
    <w:rsid w:val="00640AA6"/>
    <w:rsid w:val="00653F44"/>
    <w:rsid w:val="00662B2F"/>
    <w:rsid w:val="00667356"/>
    <w:rsid w:val="00690373"/>
    <w:rsid w:val="006A3026"/>
    <w:rsid w:val="006A46FD"/>
    <w:rsid w:val="006A57AD"/>
    <w:rsid w:val="006B1FC2"/>
    <w:rsid w:val="006B5113"/>
    <w:rsid w:val="006C1C0B"/>
    <w:rsid w:val="006C2C8E"/>
    <w:rsid w:val="006C3E32"/>
    <w:rsid w:val="006C635B"/>
    <w:rsid w:val="006C76CF"/>
    <w:rsid w:val="006D2C08"/>
    <w:rsid w:val="006E3296"/>
    <w:rsid w:val="006E7D14"/>
    <w:rsid w:val="0070128C"/>
    <w:rsid w:val="00702C62"/>
    <w:rsid w:val="00705E44"/>
    <w:rsid w:val="007150F6"/>
    <w:rsid w:val="007259C4"/>
    <w:rsid w:val="00727064"/>
    <w:rsid w:val="00742965"/>
    <w:rsid w:val="00742BA5"/>
    <w:rsid w:val="00743ED1"/>
    <w:rsid w:val="00745EE7"/>
    <w:rsid w:val="00746192"/>
    <w:rsid w:val="007553FA"/>
    <w:rsid w:val="0075788C"/>
    <w:rsid w:val="00780946"/>
    <w:rsid w:val="007840B8"/>
    <w:rsid w:val="00792F3E"/>
    <w:rsid w:val="00796EC9"/>
    <w:rsid w:val="007B1E5A"/>
    <w:rsid w:val="007B3096"/>
    <w:rsid w:val="007B72F6"/>
    <w:rsid w:val="007C6961"/>
    <w:rsid w:val="007D2740"/>
    <w:rsid w:val="007D4FEF"/>
    <w:rsid w:val="007D609C"/>
    <w:rsid w:val="007E0740"/>
    <w:rsid w:val="007F15DD"/>
    <w:rsid w:val="007F5D83"/>
    <w:rsid w:val="00800886"/>
    <w:rsid w:val="00803220"/>
    <w:rsid w:val="00803B2A"/>
    <w:rsid w:val="008048D5"/>
    <w:rsid w:val="00822B7B"/>
    <w:rsid w:val="00824CCD"/>
    <w:rsid w:val="00831604"/>
    <w:rsid w:val="00832594"/>
    <w:rsid w:val="00840E5D"/>
    <w:rsid w:val="00854D62"/>
    <w:rsid w:val="00856940"/>
    <w:rsid w:val="00873F3D"/>
    <w:rsid w:val="0089316C"/>
    <w:rsid w:val="008A7A17"/>
    <w:rsid w:val="008A7C50"/>
    <w:rsid w:val="008B163F"/>
    <w:rsid w:val="008B1A91"/>
    <w:rsid w:val="008B7026"/>
    <w:rsid w:val="008C353F"/>
    <w:rsid w:val="008C5979"/>
    <w:rsid w:val="008D37E4"/>
    <w:rsid w:val="008E2D0C"/>
    <w:rsid w:val="008F145F"/>
    <w:rsid w:val="008F7F18"/>
    <w:rsid w:val="009101E0"/>
    <w:rsid w:val="00924C86"/>
    <w:rsid w:val="00926618"/>
    <w:rsid w:val="009335C2"/>
    <w:rsid w:val="00935A8F"/>
    <w:rsid w:val="009405EF"/>
    <w:rsid w:val="009542C5"/>
    <w:rsid w:val="009576F2"/>
    <w:rsid w:val="00962F46"/>
    <w:rsid w:val="0096452C"/>
    <w:rsid w:val="00967FD9"/>
    <w:rsid w:val="009A147F"/>
    <w:rsid w:val="009A1EC8"/>
    <w:rsid w:val="009B4115"/>
    <w:rsid w:val="009C3AC1"/>
    <w:rsid w:val="009C5E06"/>
    <w:rsid w:val="009C6E95"/>
    <w:rsid w:val="009D3EA7"/>
    <w:rsid w:val="009E1090"/>
    <w:rsid w:val="009E347C"/>
    <w:rsid w:val="009E7F22"/>
    <w:rsid w:val="009F1512"/>
    <w:rsid w:val="00A0107C"/>
    <w:rsid w:val="00A07109"/>
    <w:rsid w:val="00A10167"/>
    <w:rsid w:val="00A1173B"/>
    <w:rsid w:val="00A146A3"/>
    <w:rsid w:val="00A14D10"/>
    <w:rsid w:val="00A15308"/>
    <w:rsid w:val="00A178E2"/>
    <w:rsid w:val="00A2094C"/>
    <w:rsid w:val="00A23B76"/>
    <w:rsid w:val="00A3044D"/>
    <w:rsid w:val="00A360AC"/>
    <w:rsid w:val="00A458CD"/>
    <w:rsid w:val="00A46C39"/>
    <w:rsid w:val="00A53B51"/>
    <w:rsid w:val="00A568E7"/>
    <w:rsid w:val="00A65CC4"/>
    <w:rsid w:val="00A7005E"/>
    <w:rsid w:val="00A848F3"/>
    <w:rsid w:val="00A9074C"/>
    <w:rsid w:val="00A91382"/>
    <w:rsid w:val="00A9371E"/>
    <w:rsid w:val="00AA0415"/>
    <w:rsid w:val="00AA720C"/>
    <w:rsid w:val="00AD0383"/>
    <w:rsid w:val="00AD585E"/>
    <w:rsid w:val="00AE42C6"/>
    <w:rsid w:val="00B010F6"/>
    <w:rsid w:val="00B07A92"/>
    <w:rsid w:val="00B11B04"/>
    <w:rsid w:val="00B121D7"/>
    <w:rsid w:val="00B13440"/>
    <w:rsid w:val="00B156C4"/>
    <w:rsid w:val="00B218A1"/>
    <w:rsid w:val="00B23A9C"/>
    <w:rsid w:val="00B346EA"/>
    <w:rsid w:val="00B34D3B"/>
    <w:rsid w:val="00B36543"/>
    <w:rsid w:val="00B43BD8"/>
    <w:rsid w:val="00B543A1"/>
    <w:rsid w:val="00B6039E"/>
    <w:rsid w:val="00B8062C"/>
    <w:rsid w:val="00B82884"/>
    <w:rsid w:val="00B927DD"/>
    <w:rsid w:val="00B952FB"/>
    <w:rsid w:val="00B96D82"/>
    <w:rsid w:val="00B97ED2"/>
    <w:rsid w:val="00BA131E"/>
    <w:rsid w:val="00BA3A64"/>
    <w:rsid w:val="00BC2771"/>
    <w:rsid w:val="00BE4697"/>
    <w:rsid w:val="00BF2A64"/>
    <w:rsid w:val="00BF77CB"/>
    <w:rsid w:val="00C04A37"/>
    <w:rsid w:val="00C106F2"/>
    <w:rsid w:val="00C17370"/>
    <w:rsid w:val="00C20B77"/>
    <w:rsid w:val="00C20E7D"/>
    <w:rsid w:val="00C221D7"/>
    <w:rsid w:val="00C233C3"/>
    <w:rsid w:val="00C24584"/>
    <w:rsid w:val="00C25347"/>
    <w:rsid w:val="00C367BF"/>
    <w:rsid w:val="00C421F9"/>
    <w:rsid w:val="00C460CC"/>
    <w:rsid w:val="00C468C7"/>
    <w:rsid w:val="00C47BE8"/>
    <w:rsid w:val="00C6140E"/>
    <w:rsid w:val="00C61A3A"/>
    <w:rsid w:val="00C64F65"/>
    <w:rsid w:val="00C70451"/>
    <w:rsid w:val="00C71EFB"/>
    <w:rsid w:val="00C75140"/>
    <w:rsid w:val="00C752E2"/>
    <w:rsid w:val="00C854B5"/>
    <w:rsid w:val="00C878C0"/>
    <w:rsid w:val="00C97C58"/>
    <w:rsid w:val="00CA42FC"/>
    <w:rsid w:val="00CB205F"/>
    <w:rsid w:val="00CB329B"/>
    <w:rsid w:val="00CC27AA"/>
    <w:rsid w:val="00CC5AF3"/>
    <w:rsid w:val="00CD3509"/>
    <w:rsid w:val="00CD6FA9"/>
    <w:rsid w:val="00CE240A"/>
    <w:rsid w:val="00CF176C"/>
    <w:rsid w:val="00CF3DCE"/>
    <w:rsid w:val="00CF3EC6"/>
    <w:rsid w:val="00CF5C59"/>
    <w:rsid w:val="00D07A96"/>
    <w:rsid w:val="00D128E4"/>
    <w:rsid w:val="00D131CA"/>
    <w:rsid w:val="00D13BE7"/>
    <w:rsid w:val="00D27100"/>
    <w:rsid w:val="00D27B91"/>
    <w:rsid w:val="00D30081"/>
    <w:rsid w:val="00D30EAA"/>
    <w:rsid w:val="00D70DA1"/>
    <w:rsid w:val="00D83AC4"/>
    <w:rsid w:val="00D849F8"/>
    <w:rsid w:val="00D97137"/>
    <w:rsid w:val="00DA2D44"/>
    <w:rsid w:val="00DA6633"/>
    <w:rsid w:val="00DA6C01"/>
    <w:rsid w:val="00DB18B7"/>
    <w:rsid w:val="00DB2016"/>
    <w:rsid w:val="00DB2904"/>
    <w:rsid w:val="00DB3A0E"/>
    <w:rsid w:val="00DB5EC8"/>
    <w:rsid w:val="00DC49A8"/>
    <w:rsid w:val="00DC79FE"/>
    <w:rsid w:val="00DD0890"/>
    <w:rsid w:val="00DD5716"/>
    <w:rsid w:val="00DD6FD7"/>
    <w:rsid w:val="00DE66BE"/>
    <w:rsid w:val="00DE7C41"/>
    <w:rsid w:val="00DF0B18"/>
    <w:rsid w:val="00DF18EB"/>
    <w:rsid w:val="00DF3A7B"/>
    <w:rsid w:val="00E06AA4"/>
    <w:rsid w:val="00E1736D"/>
    <w:rsid w:val="00E26FDA"/>
    <w:rsid w:val="00E30467"/>
    <w:rsid w:val="00E33D96"/>
    <w:rsid w:val="00E411C8"/>
    <w:rsid w:val="00E42817"/>
    <w:rsid w:val="00E43FB0"/>
    <w:rsid w:val="00E53079"/>
    <w:rsid w:val="00E61F41"/>
    <w:rsid w:val="00E62BCF"/>
    <w:rsid w:val="00E712B5"/>
    <w:rsid w:val="00E87C08"/>
    <w:rsid w:val="00E922EB"/>
    <w:rsid w:val="00E965EE"/>
    <w:rsid w:val="00EA0C7D"/>
    <w:rsid w:val="00EA2A0B"/>
    <w:rsid w:val="00EA45CD"/>
    <w:rsid w:val="00EA4E08"/>
    <w:rsid w:val="00EB0E3E"/>
    <w:rsid w:val="00EB74B5"/>
    <w:rsid w:val="00EB78DD"/>
    <w:rsid w:val="00EC014A"/>
    <w:rsid w:val="00EC1044"/>
    <w:rsid w:val="00EC70D9"/>
    <w:rsid w:val="00ED2073"/>
    <w:rsid w:val="00EF2EE8"/>
    <w:rsid w:val="00EF4929"/>
    <w:rsid w:val="00F0206B"/>
    <w:rsid w:val="00F15837"/>
    <w:rsid w:val="00F171B8"/>
    <w:rsid w:val="00F23C64"/>
    <w:rsid w:val="00F254A3"/>
    <w:rsid w:val="00F3121D"/>
    <w:rsid w:val="00F34A7C"/>
    <w:rsid w:val="00F57F50"/>
    <w:rsid w:val="00F65702"/>
    <w:rsid w:val="00F75EB4"/>
    <w:rsid w:val="00F81619"/>
    <w:rsid w:val="00F816BC"/>
    <w:rsid w:val="00F86C99"/>
    <w:rsid w:val="00F86FAE"/>
    <w:rsid w:val="00FA48FA"/>
    <w:rsid w:val="00FA610D"/>
    <w:rsid w:val="00FB0A4A"/>
    <w:rsid w:val="00FB4D86"/>
    <w:rsid w:val="00FC33F4"/>
    <w:rsid w:val="00FC6811"/>
    <w:rsid w:val="00FE6430"/>
    <w:rsid w:val="00FE6A3C"/>
    <w:rsid w:val="00FE6A66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F145"/>
  <w15:docId w15:val="{8D66598D-9A3D-493D-9D74-7F8E286C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6543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0">
    <w:name w:val="Placeholder Text"/>
    <w:basedOn w:val="a1"/>
    <w:uiPriority w:val="99"/>
    <w:semiHidden/>
    <w:rsid w:val="007C69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879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6E51D-86C5-48E9-8B7A-6D2F352C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Евгения Владимировна</dc:creator>
  <cp:lastModifiedBy>Ирдуганова Ирина Николаевна</cp:lastModifiedBy>
  <cp:revision>8</cp:revision>
  <cp:lastPrinted>2018-02-08T23:48:00Z</cp:lastPrinted>
  <dcterms:created xsi:type="dcterms:W3CDTF">2018-01-23T04:15:00Z</dcterms:created>
  <dcterms:modified xsi:type="dcterms:W3CDTF">2018-02-11T23:24:00Z</dcterms:modified>
</cp:coreProperties>
</file>