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130AAD">
      <w:pPr>
        <w:jc w:val="right"/>
        <w:rPr>
          <w:b/>
          <w:bCs/>
        </w:rPr>
      </w:pPr>
      <w:r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№1.1).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proofErr w:type="gramStart"/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ЕАО, Южно-Якутские ЭС)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по - квартально (1 квартал – до 15 февраля 2018г., 2 квартал – до 30 апреля 2018г., 3 квартал – до 31 июля 2018г., 4 квартал – до 31 октября 2018г.</w:t>
      </w:r>
      <w:r w:rsidRPr="00416D79">
        <w:rPr>
          <w:b/>
          <w:sz w:val="22"/>
          <w:szCs w:val="22"/>
        </w:rPr>
        <w:t xml:space="preserve"> </w:t>
      </w:r>
      <w:proofErr w:type="gramEnd"/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416D79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ставки Товара на склад Грузополучателя</w:t>
      </w:r>
      <w:r w:rsidR="00B43627" w:rsidRPr="00416D79">
        <w:rPr>
          <w:sz w:val="22"/>
          <w:szCs w:val="22"/>
        </w:rPr>
        <w:t xml:space="preserve">. </w:t>
      </w:r>
      <w:r w:rsidR="008A3A9A" w:rsidRPr="00416D79">
        <w:rPr>
          <w:sz w:val="22"/>
          <w:szCs w:val="22"/>
        </w:rPr>
        <w:t>Поставщик</w:t>
      </w:r>
      <w:r w:rsidR="00B43627" w:rsidRPr="00416D79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416D79">
        <w:rPr>
          <w:sz w:val="22"/>
          <w:szCs w:val="22"/>
        </w:rPr>
        <w:t>з</w:t>
      </w:r>
      <w:r w:rsidR="00B43627" w:rsidRPr="00416D79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416D79">
        <w:rPr>
          <w:sz w:val="22"/>
          <w:szCs w:val="22"/>
        </w:rPr>
        <w:t>выявленных</w:t>
      </w:r>
      <w:proofErr w:type="gramEnd"/>
      <w:r w:rsidR="00B43627" w:rsidRPr="00416D79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E86E52" w:rsidRPr="00416D79">
        <w:rPr>
          <w:sz w:val="22"/>
          <w:szCs w:val="22"/>
        </w:rPr>
        <w:t>ые</w:t>
      </w:r>
      <w:r w:rsidRPr="00416D79">
        <w:rPr>
          <w:sz w:val="22"/>
          <w:szCs w:val="22"/>
        </w:rPr>
        <w:t xml:space="preserve"> </w:t>
      </w:r>
      <w:r w:rsidR="00E86E52" w:rsidRPr="00416D79">
        <w:rPr>
          <w:sz w:val="22"/>
          <w:szCs w:val="22"/>
        </w:rPr>
        <w:t>автомобильные масла</w:t>
      </w:r>
      <w:r w:rsidRPr="00416D79">
        <w:rPr>
          <w:sz w:val="22"/>
          <w:szCs w:val="22"/>
        </w:rPr>
        <w:t xml:space="preserve"> должн</w:t>
      </w:r>
      <w:r w:rsidR="00E86E52" w:rsidRPr="00416D79">
        <w:rPr>
          <w:sz w:val="22"/>
          <w:szCs w:val="22"/>
        </w:rPr>
        <w:t>ы</w:t>
      </w:r>
      <w:r w:rsidRPr="00416D79">
        <w:rPr>
          <w:sz w:val="22"/>
          <w:szCs w:val="22"/>
        </w:rPr>
        <w:t xml:space="preserve"> быть новым</w:t>
      </w:r>
      <w:r w:rsidR="00E86E52" w:rsidRPr="00416D79">
        <w:rPr>
          <w:sz w:val="22"/>
          <w:szCs w:val="22"/>
        </w:rPr>
        <w:t>и,</w:t>
      </w:r>
      <w:r w:rsidRPr="00416D79">
        <w:rPr>
          <w:sz w:val="22"/>
          <w:szCs w:val="22"/>
        </w:rPr>
        <w:t xml:space="preserve"> не ранее 201</w:t>
      </w:r>
      <w:r w:rsidR="00E86E52" w:rsidRPr="00416D79">
        <w:rPr>
          <w:sz w:val="22"/>
          <w:szCs w:val="22"/>
        </w:rPr>
        <w:t>7</w:t>
      </w:r>
      <w:r w:rsidR="00E4655A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>ными в Приложении 1.</w:t>
      </w:r>
      <w:r w:rsidR="00E86E52" w:rsidRPr="00416D79">
        <w:rPr>
          <w:color w:val="000000"/>
          <w:sz w:val="22"/>
          <w:szCs w:val="22"/>
        </w:rPr>
        <w:t>1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Все автомобильные масла должны поступать на склады Грузополучателей в стр</w:t>
      </w:r>
      <w:r w:rsidR="00416D79" w:rsidRPr="00416D79">
        <w:rPr>
          <w:color w:val="000000"/>
          <w:sz w:val="22"/>
          <w:szCs w:val="22"/>
        </w:rPr>
        <w:t>о</w:t>
      </w:r>
      <w:r w:rsidR="00416D79" w:rsidRPr="00416D79">
        <w:rPr>
          <w:color w:val="000000"/>
          <w:sz w:val="22"/>
          <w:szCs w:val="22"/>
        </w:rPr>
        <w:t xml:space="preserve">гом соблюдении указанной </w:t>
      </w:r>
      <w:r w:rsidR="00A1550D">
        <w:rPr>
          <w:color w:val="000000"/>
          <w:sz w:val="22"/>
          <w:szCs w:val="22"/>
        </w:rPr>
        <w:t xml:space="preserve">Участником </w:t>
      </w:r>
      <w:r w:rsidR="00416D79" w:rsidRPr="00416D79">
        <w:rPr>
          <w:color w:val="000000"/>
          <w:sz w:val="22"/>
          <w:szCs w:val="22"/>
        </w:rPr>
        <w:t xml:space="preserve">фасовки в </w:t>
      </w:r>
      <w:r w:rsidR="00A1550D">
        <w:rPr>
          <w:color w:val="000000"/>
          <w:sz w:val="22"/>
          <w:szCs w:val="22"/>
        </w:rPr>
        <w:t>предложении.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416D79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7D0507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proofErr w:type="gramStart"/>
      <w:r w:rsidR="00E86E52" w:rsidRPr="00416D7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 xml:space="preserve">ответствия, паспорта </w:t>
      </w:r>
      <w:proofErr w:type="gramEnd"/>
    </w:p>
    <w:p w:rsidR="00E86E52" w:rsidRPr="00416D79" w:rsidRDefault="00E86E52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>кач</w:t>
      </w:r>
      <w:r w:rsidR="007D0507" w:rsidRPr="00416D79">
        <w:rPr>
          <w:sz w:val="22"/>
          <w:szCs w:val="22"/>
        </w:rPr>
        <w:t>е</w:t>
      </w:r>
      <w:r w:rsidRPr="00416D79">
        <w:rPr>
          <w:sz w:val="22"/>
          <w:szCs w:val="22"/>
        </w:rPr>
        <w:t xml:space="preserve">ства), а так же соответствовать требованиям, указанным в </w:t>
      </w:r>
      <w:r w:rsidR="007D0507" w:rsidRPr="00416D79">
        <w:rPr>
          <w:sz w:val="22"/>
          <w:szCs w:val="22"/>
        </w:rPr>
        <w:t>Приложении 1.1.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В случае если Участник не указал Производителя или не представил технические характеристики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Заказчик имеет право отклонить заявку Участника.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416D79">
        <w:rPr>
          <w:sz w:val="22"/>
          <w:szCs w:val="22"/>
        </w:rPr>
        <w:t>авт</w:t>
      </w:r>
      <w:r w:rsidR="007D0507" w:rsidRPr="00416D79">
        <w:rPr>
          <w:sz w:val="22"/>
          <w:szCs w:val="22"/>
        </w:rPr>
        <w:t>о</w:t>
      </w:r>
      <w:r w:rsidR="007D0507" w:rsidRPr="00416D79">
        <w:rPr>
          <w:sz w:val="22"/>
          <w:szCs w:val="22"/>
        </w:rPr>
        <w:t>мобильных масел</w:t>
      </w:r>
      <w:r w:rsidRPr="00416D79">
        <w:rPr>
          <w:sz w:val="22"/>
          <w:szCs w:val="22"/>
        </w:rPr>
        <w:t>.</w:t>
      </w:r>
    </w:p>
    <w:p w:rsidR="00130AAD" w:rsidRPr="00130AAD" w:rsidRDefault="00130AAD" w:rsidP="00130AAD">
      <w:pPr>
        <w:spacing w:after="200"/>
        <w:ind w:firstLine="708"/>
        <w:contextualSpacing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130AAD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В случае не предоставления документов, указанных в пункте </w:t>
      </w:r>
      <w:r w:rsidRPr="00130AAD"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5.1.</w:t>
      </w:r>
      <w:r w:rsidRPr="00130AAD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 настоящего технического з</w:t>
      </w:r>
      <w:r w:rsidRPr="00130AAD">
        <w:rPr>
          <w:rFonts w:eastAsia="Calibri"/>
          <w:b/>
          <w:bCs/>
          <w:i/>
          <w:iCs/>
          <w:sz w:val="22"/>
          <w:szCs w:val="22"/>
          <w:lang w:eastAsia="en-US"/>
        </w:rPr>
        <w:t>а</w:t>
      </w:r>
      <w:r w:rsidRPr="00130AAD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дания Участник считается утратившим статус победителя, в соответствии с условиями пункта </w:t>
      </w:r>
      <w:r w:rsidRPr="00130AAD"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2.</w:t>
      </w:r>
      <w:r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11</w:t>
      </w:r>
      <w:r w:rsidRPr="00130AAD"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.</w:t>
      </w:r>
      <w:r>
        <w:rPr>
          <w:rFonts w:eastAsia="Calibri"/>
          <w:b/>
          <w:bCs/>
          <w:i/>
          <w:iCs/>
          <w:color w:val="000000"/>
          <w:sz w:val="22"/>
          <w:szCs w:val="22"/>
          <w:lang w:eastAsia="en-US"/>
        </w:rPr>
        <w:t>7</w:t>
      </w:r>
      <w:bookmarkStart w:id="2" w:name="_GoBack"/>
      <w:bookmarkEnd w:id="2"/>
      <w:r w:rsidRPr="00130AAD">
        <w:rPr>
          <w:rFonts w:eastAsia="Calibri"/>
          <w:b/>
          <w:bCs/>
          <w:i/>
          <w:iCs/>
          <w:sz w:val="22"/>
          <w:szCs w:val="22"/>
          <w:lang w:eastAsia="en-US"/>
        </w:rPr>
        <w:t>  документации о закупке.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Pr="00416D79">
        <w:rPr>
          <w:sz w:val="22"/>
          <w:szCs w:val="22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>ние предлагаемого к поставке аналога. Отсутствие в составе технико-коммерческого предложения подро</w:t>
      </w:r>
      <w:r w:rsidRPr="00416D79">
        <w:rPr>
          <w:sz w:val="22"/>
          <w:szCs w:val="22"/>
        </w:rPr>
        <w:t>б</w:t>
      </w:r>
      <w:r w:rsidRPr="00416D79">
        <w:rPr>
          <w:sz w:val="22"/>
          <w:szCs w:val="22"/>
        </w:rPr>
        <w:t>ного технического описания аналогов продукции может являться причиной отклонения предложения Учас</w:t>
      </w:r>
      <w:r w:rsidRPr="00416D79">
        <w:rPr>
          <w:sz w:val="22"/>
          <w:szCs w:val="22"/>
        </w:rPr>
        <w:t>т</w:t>
      </w:r>
      <w:r w:rsidRPr="00416D79">
        <w:rPr>
          <w:sz w:val="22"/>
          <w:szCs w:val="22"/>
        </w:rPr>
        <w:t>ника.   Аналогичная продукция - это продукция, которая по техническим и функциональным характерист</w:t>
      </w:r>
      <w:r w:rsidRPr="00416D79">
        <w:rPr>
          <w:sz w:val="22"/>
          <w:szCs w:val="22"/>
        </w:rPr>
        <w:t>и</w:t>
      </w:r>
      <w:r w:rsidRPr="00416D79">
        <w:rPr>
          <w:sz w:val="22"/>
          <w:szCs w:val="22"/>
        </w:rPr>
        <w:t>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p w:rsidR="00B43627" w:rsidRPr="00543FAE" w:rsidRDefault="00B43627" w:rsidP="00B43627"/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30AAD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0C6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4335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9</cp:revision>
  <cp:lastPrinted>2017-11-13T05:18:00Z</cp:lastPrinted>
  <dcterms:created xsi:type="dcterms:W3CDTF">2017-10-26T02:33:00Z</dcterms:created>
  <dcterms:modified xsi:type="dcterms:W3CDTF">2017-11-24T04:25:00Z</dcterms:modified>
</cp:coreProperties>
</file>