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bookmarkStart w:id="0" w:name="_GoBack"/>
      <w:bookmarkEnd w:id="0"/>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w:t>
      </w:r>
      <w:r w:rsidR="009A1DCF">
        <w:t>___________</w:t>
      </w:r>
      <w:r w:rsidR="004D010D">
        <w:t xml:space="preserve"> </w:t>
      </w:r>
      <w:r w:rsidR="00400DA6" w:rsidRPr="00C51261">
        <w:t>г. №</w:t>
      </w:r>
      <w:r w:rsidR="004D010D">
        <w:t xml:space="preserve"> </w:t>
      </w:r>
      <w:r w:rsidR="009A1DCF">
        <w:t>______</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мероприятия по</w:t>
      </w:r>
      <w:r w:rsidR="0051566E">
        <w:rPr>
          <w:b/>
          <w:i/>
        </w:rPr>
        <w:t xml:space="preserve"> </w:t>
      </w:r>
      <w:r w:rsidR="009A1DCF">
        <w:rPr>
          <w:b/>
          <w:i/>
        </w:rPr>
        <w:t xml:space="preserve">строительству и </w:t>
      </w:r>
      <w:r w:rsidR="008C4512">
        <w:rPr>
          <w:b/>
          <w:i/>
        </w:rPr>
        <w:t>реконструкции</w:t>
      </w:r>
      <w:r w:rsidR="005C4004" w:rsidRPr="005C4004">
        <w:rPr>
          <w:b/>
          <w:i/>
        </w:rPr>
        <w:t xml:space="preserve"> </w:t>
      </w:r>
      <w:r w:rsidR="009A1DCF">
        <w:rPr>
          <w:b/>
          <w:i/>
        </w:rPr>
        <w:t>для технологического присоединения</w:t>
      </w:r>
      <w:r w:rsidR="005C4004">
        <w:t xml:space="preserve"> </w:t>
      </w:r>
      <w:r w:rsidR="009A1DCF" w:rsidRPr="009A1DCF">
        <w:rPr>
          <w:b/>
          <w:i/>
        </w:rPr>
        <w:t>потребителей Ивановского района (с.Ивановка, с.Среднебелое) к сетям 10-0,4 кВ</w:t>
      </w:r>
      <w:r w:rsidR="009A1DCF">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0B4ABA" w:rsidRPr="005C4004" w:rsidRDefault="009A1DCF" w:rsidP="005C4004">
      <w:pPr>
        <w:pStyle w:val="af3"/>
        <w:numPr>
          <w:ilvl w:val="0"/>
          <w:numId w:val="36"/>
        </w:numPr>
        <w:shd w:val="clear" w:color="auto" w:fill="FFFFFF"/>
        <w:tabs>
          <w:tab w:val="left" w:pos="900"/>
          <w:tab w:val="left" w:pos="1276"/>
        </w:tabs>
        <w:jc w:val="both"/>
        <w:rPr>
          <w:i/>
        </w:rPr>
      </w:pPr>
      <w:r>
        <w:t>Сапаева</w:t>
      </w:r>
      <w:r w:rsidR="00D32BEC">
        <w:t xml:space="preserve"> </w:t>
      </w:r>
      <w:r>
        <w:t>Е</w:t>
      </w:r>
      <w:r w:rsidR="00D32BEC">
        <w:t>.В</w:t>
      </w:r>
      <w:r w:rsidR="00CD254D">
        <w:t>.</w:t>
      </w:r>
      <w:r w:rsidR="005C4004">
        <w:t xml:space="preserve"> по договору на </w:t>
      </w:r>
      <w:r w:rsidR="001D1B01">
        <w:t>ТП</w:t>
      </w:r>
      <w:r w:rsidR="005C4004">
        <w:t xml:space="preserve"> № </w:t>
      </w:r>
      <w:r>
        <w:t>1558</w:t>
      </w:r>
      <w:r w:rsidR="005C4004">
        <w:t xml:space="preserve">-ТП от </w:t>
      </w:r>
      <w:r w:rsidR="00D32BEC">
        <w:t>2</w:t>
      </w:r>
      <w:r>
        <w:t>6</w:t>
      </w:r>
      <w:r w:rsidR="005C4004">
        <w:t>.0</w:t>
      </w:r>
      <w:r>
        <w:t>5</w:t>
      </w:r>
      <w:r w:rsidR="005C4004">
        <w:t>.2017 г.;</w:t>
      </w:r>
    </w:p>
    <w:p w:rsidR="00CD254D" w:rsidRPr="00CD254D" w:rsidRDefault="009A1DCF" w:rsidP="005C4004">
      <w:pPr>
        <w:pStyle w:val="af3"/>
        <w:numPr>
          <w:ilvl w:val="0"/>
          <w:numId w:val="36"/>
        </w:numPr>
        <w:shd w:val="clear" w:color="auto" w:fill="FFFFFF"/>
        <w:tabs>
          <w:tab w:val="left" w:pos="900"/>
          <w:tab w:val="left" w:pos="1276"/>
        </w:tabs>
        <w:jc w:val="both"/>
        <w:rPr>
          <w:i/>
        </w:rPr>
      </w:pPr>
      <w:r>
        <w:t>Герасименко</w:t>
      </w:r>
      <w:r w:rsidR="00CD254D">
        <w:t xml:space="preserve"> </w:t>
      </w:r>
      <w:r>
        <w:t>Л.</w:t>
      </w:r>
      <w:r w:rsidR="00CD254D">
        <w:t xml:space="preserve">А. по договору на </w:t>
      </w:r>
      <w:r w:rsidR="001D1B01">
        <w:t>ТП</w:t>
      </w:r>
      <w:r w:rsidR="00CD254D">
        <w:t xml:space="preserve"> № </w:t>
      </w:r>
      <w:r>
        <w:t>1706</w:t>
      </w:r>
      <w:r w:rsidR="00CD254D">
        <w:t xml:space="preserve">-ТП от </w:t>
      </w:r>
      <w:r>
        <w:t>06</w:t>
      </w:r>
      <w:r w:rsidR="00CD254D">
        <w:t>.0</w:t>
      </w:r>
      <w:r>
        <w:t>6</w:t>
      </w:r>
      <w:r w:rsidR="00CD254D">
        <w:t>.2017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D32BEC" w:rsidRDefault="005C4004" w:rsidP="009B6DBB">
      <w:pPr>
        <w:pStyle w:val="af3"/>
        <w:numPr>
          <w:ilvl w:val="1"/>
          <w:numId w:val="2"/>
        </w:numPr>
        <w:ind w:left="0" w:firstLine="709"/>
        <w:contextualSpacing w:val="0"/>
        <w:jc w:val="both"/>
        <w:rPr>
          <w:b/>
        </w:rPr>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rsidRPr="00D32BEC">
        <w:rPr>
          <w:b/>
        </w:rPr>
        <w:t>«</w:t>
      </w:r>
      <w:r w:rsidR="00906085" w:rsidRPr="00D32BEC">
        <w:rPr>
          <w:b/>
        </w:rPr>
        <w:t>2</w:t>
      </w:r>
      <w:r w:rsidR="009A1DCF">
        <w:rPr>
          <w:b/>
        </w:rPr>
        <w:t>8</w:t>
      </w:r>
      <w:r w:rsidR="00B0074D" w:rsidRPr="00D32BEC">
        <w:rPr>
          <w:b/>
        </w:rPr>
        <w:t xml:space="preserve">» </w:t>
      </w:r>
      <w:r w:rsidR="009A1DCF">
        <w:rPr>
          <w:b/>
        </w:rPr>
        <w:t>февраля</w:t>
      </w:r>
      <w:r w:rsidR="00B0074D" w:rsidRPr="00D32BEC">
        <w:rPr>
          <w:b/>
        </w:rPr>
        <w:t xml:space="preserve"> 201</w:t>
      </w:r>
      <w:r w:rsidR="00D32BEC" w:rsidRPr="00D32BEC">
        <w:rPr>
          <w:b/>
        </w:rPr>
        <w:t>8</w:t>
      </w:r>
      <w:r w:rsidR="00B0074D" w:rsidRPr="00D32BEC">
        <w:rPr>
          <w:b/>
        </w:rPr>
        <w:t xml:space="preserve">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Pr="00C51261">
        <w:lastRenderedPageBreak/>
        <w:t>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8C4512">
        <w:t>2</w:t>
      </w:r>
      <w:r w:rsidR="009A1DCF">
        <w:t>8</w:t>
      </w:r>
      <w:r w:rsidR="00B0074D">
        <w:t>.</w:t>
      </w:r>
      <w:r w:rsidR="00D32BEC">
        <w:t>0</w:t>
      </w:r>
      <w:r w:rsidR="009A1DCF">
        <w:t>2</w:t>
      </w:r>
      <w:r w:rsidR="00386613" w:rsidRPr="00C51261">
        <w:t>.20</w:t>
      </w:r>
      <w:r w:rsidR="00B0074D">
        <w:t>1</w:t>
      </w:r>
      <w:r w:rsidR="00D32BEC">
        <w:t>8</w:t>
      </w:r>
      <w:r w:rsidR="00B0074D">
        <w:t xml:space="preserve">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C51261">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C51261">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lastRenderedPageBreak/>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lastRenderedPageBreak/>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w:t>
      </w:r>
      <w:r w:rsidR="001D1B01">
        <w:rPr>
          <w:bCs/>
        </w:rPr>
        <w:t>5</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lastRenderedPageBreak/>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подлежит утверждению Заказчиком.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t>поставке</w:t>
      </w:r>
      <w:r w:rsidRPr="00C51261">
        <w:t xml:space="preserve"> материалов и оборудования согласно</w:t>
      </w:r>
      <w:r>
        <w:t xml:space="preserve"> Техническому заданию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9A1DCF" w:rsidRDefault="009A1DCF" w:rsidP="009A1DCF">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Pr>
          <w:iCs/>
        </w:rPr>
        <w:t>редаче</w:t>
      </w:r>
      <w:r w:rsidRPr="00C51261">
        <w:rPr>
          <w:iCs/>
        </w:rPr>
        <w:t xml:space="preserve"> </w:t>
      </w:r>
      <w:r>
        <w:rPr>
          <w:iCs/>
        </w:rPr>
        <w:t xml:space="preserve">строительных материалов </w:t>
      </w:r>
      <w:r w:rsidRPr="00C51261">
        <w:rPr>
          <w:iCs/>
        </w:rPr>
        <w:t xml:space="preserve">в соответствии с </w:t>
      </w:r>
      <w:r>
        <w:rPr>
          <w:iCs/>
        </w:rPr>
        <w:t>Техническим заданием</w:t>
      </w:r>
      <w:r w:rsidRPr="00C51261">
        <w:rPr>
          <w:iCs/>
        </w:rPr>
        <w:t xml:space="preserve"> (</w:t>
      </w:r>
      <w:r>
        <w:rPr>
          <w:iCs/>
        </w:rPr>
        <w:t>п</w:t>
      </w:r>
      <w:r w:rsidRPr="00C51261">
        <w:rPr>
          <w:iCs/>
        </w:rPr>
        <w:t>риложение №</w:t>
      </w:r>
      <w:r>
        <w:rPr>
          <w:iCs/>
        </w:rPr>
        <w:t xml:space="preserve"> 1</w:t>
      </w:r>
      <w:r w:rsidRPr="00C51261">
        <w:rPr>
          <w:iCs/>
        </w:rPr>
        <w:t xml:space="preserve"> к настоящему Договору).</w:t>
      </w:r>
      <w:r>
        <w:rPr>
          <w:iCs/>
        </w:rPr>
        <w:t xml:space="preserve"> </w:t>
      </w:r>
      <w:r w:rsidRPr="00C51261">
        <w:rPr>
          <w:iCs/>
        </w:rPr>
        <w:t>Заказчик п</w:t>
      </w:r>
      <w:r>
        <w:rPr>
          <w:iCs/>
        </w:rPr>
        <w:t>ереда</w:t>
      </w:r>
      <w:r w:rsidRPr="00C51261">
        <w:rPr>
          <w:iCs/>
        </w:rPr>
        <w:t xml:space="preserve">ет материалы Подрядчику по давальческой схеме. </w:t>
      </w:r>
    </w:p>
    <w:p w:rsidR="009A1DCF" w:rsidRPr="009A1DCF"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
          <w:iCs/>
        </w:rPr>
      </w:pPr>
      <w:r w:rsidRPr="00C51261">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 xml:space="preserve">(Заказчиком - в отношении </w:t>
      </w:r>
      <w:r>
        <w:rPr>
          <w:iCs/>
        </w:rPr>
        <w:t xml:space="preserve">материалов и </w:t>
      </w:r>
      <w:r w:rsidRPr="00D86276">
        <w:rPr>
          <w:iCs/>
        </w:rPr>
        <w:t>оборудования, передачу которых он обеспечивает)</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доставленных на приобъектный склад</w:t>
      </w:r>
      <w:r>
        <w:t>,</w:t>
      </w:r>
      <w:r w:rsidRPr="00C51261">
        <w:t xml:space="preserve"> несет Подрядчик.</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9A1DCF" w:rsidRPr="00727043"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Приемка оборудования на приобъектный склад осуществляется в соответствии с актом, составляемым по Форме ОС-14.</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9A1DCF" w:rsidRPr="00727043" w:rsidRDefault="009A1DCF" w:rsidP="009A1DCF">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Pr="00C51261">
        <w:rPr>
          <w:i/>
          <w:iCs/>
        </w:rPr>
        <w:t>.</w:t>
      </w:r>
    </w:p>
    <w:p w:rsidR="009A1DCF" w:rsidRPr="00C51261" w:rsidRDefault="009A1DCF" w:rsidP="009A1DCF">
      <w:pPr>
        <w:widowControl w:val="0"/>
        <w:shd w:val="clear" w:color="auto" w:fill="FFFFFF"/>
        <w:tabs>
          <w:tab w:val="left" w:pos="0"/>
          <w:tab w:val="left" w:pos="709"/>
          <w:tab w:val="left" w:pos="1276"/>
          <w:tab w:val="left" w:pos="1418"/>
        </w:tabs>
        <w:ind w:firstLine="709"/>
        <w:jc w:val="both"/>
      </w:pPr>
      <w:r w:rsidRPr="00C51261">
        <w:t>При выявлении недостатков (некомплектности) материалов и оборудования уполномоченными представителями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w:t>
      </w:r>
      <w:r w:rsidR="00A10248" w:rsidRPr="00C51261">
        <w:lastRenderedPageBreak/>
        <w:t xml:space="preserve">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lastRenderedPageBreak/>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w:t>
      </w:r>
      <w:r w:rsidRPr="00C51261">
        <w:lastRenderedPageBreak/>
        <w:t>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lastRenderedPageBreak/>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1D1B01">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w:t>
      </w:r>
      <w:r w:rsidR="001D1B01">
        <w:rPr>
          <w:rFonts w:ascii="Times New Roman" w:hAnsi="Times New Roman" w:cs="Times New Roman"/>
          <w:b/>
          <w:sz w:val="24"/>
          <w:szCs w:val="24"/>
        </w:rPr>
        <w:t>ма</w:t>
      </w:r>
      <w:r w:rsidR="00D32BEC">
        <w:rPr>
          <w:rFonts w:ascii="Times New Roman" w:hAnsi="Times New Roman" w:cs="Times New Roman"/>
          <w:b/>
          <w:sz w:val="24"/>
          <w:szCs w:val="24"/>
        </w:rPr>
        <w:t>я</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xml:space="preserve">, а в части порядка расчетов и ответственности за нарушение сторонами своих </w:t>
      </w:r>
      <w:r w:rsidRPr="00C51261">
        <w:rPr>
          <w:rFonts w:ascii="Times New Roman" w:hAnsi="Times New Roman" w:cs="Times New Roman"/>
          <w:sz w:val="24"/>
          <w:szCs w:val="24"/>
        </w:rPr>
        <w:lastRenderedPageBreak/>
        <w:t>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D1B01">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D1B01">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1D1B01">
        <w:t xml:space="preserve"> 4</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1D1B01">
        <w:t xml:space="preserve"> 4</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1D1B01">
        <w:t xml:space="preserve"> 5</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992269" w:rsidRPr="00C51261" w:rsidRDefault="00992269" w:rsidP="00940C0E">
      <w:pPr>
        <w:pStyle w:val="10"/>
        <w:tabs>
          <w:tab w:val="left" w:pos="703"/>
        </w:tabs>
        <w:spacing w:before="0" w:after="0"/>
        <w:ind w:firstLine="0"/>
        <w:rPr>
          <w:sz w:val="24"/>
          <w:szCs w:val="24"/>
        </w:rPr>
      </w:pPr>
    </w:p>
    <w:p w:rsidR="00992269" w:rsidRPr="00C51261" w:rsidRDefault="00992269" w:rsidP="00940C0E">
      <w:pPr>
        <w:tabs>
          <w:tab w:val="left" w:pos="3712"/>
        </w:tabs>
        <w:jc w:val="right"/>
      </w:pPr>
      <w:r w:rsidRPr="00C51261">
        <w:t>Приложение №</w:t>
      </w:r>
      <w:r w:rsidR="000F7FEA">
        <w:t xml:space="preserve"> </w:t>
      </w:r>
      <w:r w:rsidR="001D1B01">
        <w:t>4</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t>Приложение №</w:t>
      </w:r>
      <w:r w:rsidR="000F7FEA">
        <w:t xml:space="preserve"> </w:t>
      </w:r>
      <w:r w:rsidR="001D1B01">
        <w:t>5</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lastRenderedPageBreak/>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lastRenderedPageBreak/>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483" w:rsidRDefault="00850483" w:rsidP="001424FF">
      <w:r>
        <w:separator/>
      </w:r>
    </w:p>
  </w:endnote>
  <w:endnote w:type="continuationSeparator" w:id="0">
    <w:p w:rsidR="00850483" w:rsidRDefault="0085048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483" w:rsidRDefault="00850483" w:rsidP="001424FF">
      <w:r>
        <w:separator/>
      </w:r>
    </w:p>
  </w:footnote>
  <w:footnote w:type="continuationSeparator" w:id="0">
    <w:p w:rsidR="00850483" w:rsidRDefault="00850483" w:rsidP="001424FF">
      <w:r>
        <w:continuationSeparator/>
      </w:r>
    </w:p>
  </w:footnote>
  <w:footnote w:id="1">
    <w:p w:rsidR="009A1DCF" w:rsidRPr="00C00A42" w:rsidRDefault="009A1DCF"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9A1DCF" w:rsidRPr="00644ED5" w:rsidRDefault="009A1DCF"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A1DCF" w:rsidRPr="00644ED5" w:rsidRDefault="009A1DCF"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1B01"/>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1467"/>
    <w:rsid w:val="008447E5"/>
    <w:rsid w:val="00850483"/>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05"/>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1DCF"/>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0206E-B713-45A3-96A6-A354B1322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10042</Words>
  <Characters>57245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67153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3</cp:revision>
  <cp:lastPrinted>2013-06-24T06:38:00Z</cp:lastPrinted>
  <dcterms:created xsi:type="dcterms:W3CDTF">2017-11-30T02:26:00Z</dcterms:created>
  <dcterms:modified xsi:type="dcterms:W3CDTF">2017-11-30T02:26:00Z</dcterms:modified>
</cp:coreProperties>
</file>