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F07E6B">
      <w:pPr>
        <w:pStyle w:val="a8"/>
        <w:numPr>
          <w:ilvl w:val="1"/>
          <w:numId w:val="13"/>
        </w:numPr>
        <w:shd w:val="clear" w:color="auto" w:fill="FFFFFF"/>
        <w:tabs>
          <w:tab w:val="left" w:pos="709"/>
        </w:tabs>
        <w:spacing w:after="240"/>
        <w:ind w:left="0" w:right="17" w:firstLine="0"/>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F07E6B">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F07E6B">
      <w:pPr>
        <w:pStyle w:val="a8"/>
        <w:numPr>
          <w:ilvl w:val="0"/>
          <w:numId w:val="15"/>
        </w:numPr>
        <w:shd w:val="clear" w:color="auto" w:fill="FFFFFF"/>
        <w:tabs>
          <w:tab w:val="left" w:pos="567"/>
          <w:tab w:val="left" w:pos="709"/>
        </w:tabs>
        <w:ind w:left="0" w:firstLine="0"/>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F07E6B">
      <w:pPr>
        <w:pStyle w:val="a8"/>
        <w:numPr>
          <w:ilvl w:val="0"/>
          <w:numId w:val="15"/>
        </w:numPr>
        <w:shd w:val="clear" w:color="auto" w:fill="FFFFFF"/>
        <w:tabs>
          <w:tab w:val="left" w:pos="709"/>
        </w:tabs>
        <w:ind w:left="0" w:firstLine="0"/>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F07E6B">
      <w:pPr>
        <w:pStyle w:val="a8"/>
        <w:numPr>
          <w:ilvl w:val="0"/>
          <w:numId w:val="15"/>
        </w:numPr>
        <w:shd w:val="clear" w:color="auto" w:fill="FFFFFF"/>
        <w:tabs>
          <w:tab w:val="left" w:pos="709"/>
        </w:tabs>
        <w:ind w:left="0" w:firstLine="0"/>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F07E6B">
      <w:pPr>
        <w:pStyle w:val="a8"/>
        <w:numPr>
          <w:ilvl w:val="0"/>
          <w:numId w:val="15"/>
        </w:numPr>
        <w:shd w:val="clear" w:color="auto" w:fill="FFFFFF"/>
        <w:tabs>
          <w:tab w:val="left" w:pos="709"/>
        </w:tabs>
        <w:ind w:left="0" w:firstLine="0"/>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F07E6B">
      <w:pPr>
        <w:pStyle w:val="a8"/>
        <w:numPr>
          <w:ilvl w:val="0"/>
          <w:numId w:val="15"/>
        </w:numPr>
        <w:shd w:val="clear" w:color="auto" w:fill="FFFFFF"/>
        <w:spacing w:after="240"/>
        <w:ind w:left="0" w:firstLine="0"/>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F07E6B">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F07E6B">
      <w:pPr>
        <w:pStyle w:val="a8"/>
        <w:numPr>
          <w:ilvl w:val="0"/>
          <w:numId w:val="16"/>
        </w:numPr>
        <w:tabs>
          <w:tab w:val="left" w:pos="709"/>
          <w:tab w:val="left" w:pos="993"/>
        </w:tabs>
        <w:ind w:left="0" w:firstLine="0"/>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F07E6B">
      <w:pPr>
        <w:pStyle w:val="a8"/>
        <w:numPr>
          <w:ilvl w:val="0"/>
          <w:numId w:val="16"/>
        </w:numPr>
        <w:ind w:left="0" w:firstLine="0"/>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F07E6B">
      <w:pPr>
        <w:pStyle w:val="a8"/>
        <w:numPr>
          <w:ilvl w:val="0"/>
          <w:numId w:val="16"/>
        </w:numPr>
        <w:tabs>
          <w:tab w:val="left" w:pos="142"/>
          <w:tab w:val="left" w:pos="709"/>
        </w:tabs>
        <w:ind w:left="0" w:firstLine="0"/>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F07E6B">
      <w:pPr>
        <w:pStyle w:val="a8"/>
        <w:numPr>
          <w:ilvl w:val="0"/>
          <w:numId w:val="16"/>
        </w:numPr>
        <w:tabs>
          <w:tab w:val="left" w:pos="142"/>
        </w:tabs>
        <w:ind w:left="0" w:firstLine="0"/>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F07E6B">
      <w:pPr>
        <w:pStyle w:val="a8"/>
        <w:numPr>
          <w:ilvl w:val="0"/>
          <w:numId w:val="16"/>
        </w:numPr>
        <w:tabs>
          <w:tab w:val="left" w:pos="851"/>
        </w:tabs>
        <w:ind w:left="0" w:firstLine="0"/>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F07E6B">
      <w:pPr>
        <w:pStyle w:val="a8"/>
        <w:numPr>
          <w:ilvl w:val="0"/>
          <w:numId w:val="16"/>
        </w:numPr>
        <w:tabs>
          <w:tab w:val="left" w:pos="0"/>
          <w:tab w:val="left" w:pos="851"/>
        </w:tabs>
        <w:spacing w:after="240"/>
        <w:ind w:left="0" w:firstLine="0"/>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F07E6B">
      <w:pPr>
        <w:shd w:val="clear" w:color="auto" w:fill="FFFFFF"/>
        <w:jc w:val="center"/>
        <w:rPr>
          <w:sz w:val="22"/>
          <w:szCs w:val="22"/>
        </w:rPr>
      </w:pPr>
      <w:r>
        <w:rPr>
          <w:b/>
          <w:bCs/>
          <w:i/>
          <w:iCs/>
          <w:color w:val="000000"/>
          <w:sz w:val="22"/>
          <w:szCs w:val="22"/>
        </w:rPr>
        <w:t>4. ПОРЯДОК РАСЧЕТОВ</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F07E6B">
      <w:pPr>
        <w:shd w:val="clear" w:color="auto" w:fill="FFFFFF"/>
        <w:tabs>
          <w:tab w:val="left" w:pos="953"/>
        </w:tabs>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F07E6B">
      <w:pPr>
        <w:shd w:val="clear" w:color="auto" w:fill="FFFFFF"/>
        <w:tabs>
          <w:tab w:val="left" w:pos="953"/>
        </w:tabs>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F07E6B">
      <w:pPr>
        <w:shd w:val="clear" w:color="auto" w:fill="FFFFFF"/>
        <w:tabs>
          <w:tab w:val="left" w:pos="953"/>
        </w:tabs>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F07E6B">
      <w:pPr>
        <w:shd w:val="clear" w:color="auto" w:fill="FFFFFF"/>
        <w:tabs>
          <w:tab w:val="left" w:pos="953"/>
        </w:tabs>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F07E6B">
      <w:pPr>
        <w:shd w:val="clear" w:color="auto" w:fill="FFFFFF"/>
        <w:tabs>
          <w:tab w:val="left" w:pos="953"/>
        </w:tabs>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F07E6B">
      <w:pPr>
        <w:shd w:val="clear" w:color="auto" w:fill="FFFFFF"/>
        <w:tabs>
          <w:tab w:val="left" w:pos="953"/>
        </w:tabs>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F07E6B">
      <w:pPr>
        <w:shd w:val="clear" w:color="auto" w:fill="FFFFFF"/>
        <w:tabs>
          <w:tab w:val="left" w:pos="953"/>
        </w:tabs>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F07E6B">
      <w:pPr>
        <w:shd w:val="clear" w:color="auto" w:fill="FFFFFF"/>
        <w:tabs>
          <w:tab w:val="left" w:pos="953"/>
        </w:tabs>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F07E6B">
      <w:pPr>
        <w:shd w:val="clear" w:color="auto" w:fill="FFFFFF"/>
        <w:tabs>
          <w:tab w:val="left" w:pos="953"/>
        </w:tabs>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F07E6B">
      <w:pPr>
        <w:shd w:val="clear" w:color="auto" w:fill="FFFFFF"/>
        <w:tabs>
          <w:tab w:val="left" w:pos="953"/>
        </w:tabs>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F07E6B">
      <w:pPr>
        <w:shd w:val="clear" w:color="auto" w:fill="FFFFFF"/>
        <w:rPr>
          <w:b/>
          <w:bCs/>
          <w:i/>
          <w:iCs/>
          <w:color w:val="FF0000"/>
          <w:sz w:val="22"/>
          <w:szCs w:val="22"/>
        </w:rPr>
      </w:pPr>
    </w:p>
    <w:p w:rsidR="002C78E9" w:rsidRPr="00A2453C" w:rsidRDefault="002C78E9" w:rsidP="00F07E6B">
      <w:pPr>
        <w:shd w:val="clear" w:color="auto" w:fill="FFFFFF"/>
        <w:tabs>
          <w:tab w:val="left" w:pos="953"/>
        </w:tabs>
        <w:jc w:val="both"/>
        <w:rPr>
          <w:color w:val="000000"/>
          <w:sz w:val="22"/>
          <w:szCs w:val="22"/>
        </w:rPr>
      </w:pPr>
      <w:r w:rsidRPr="00A2453C">
        <w:rPr>
          <w:color w:val="000000"/>
          <w:sz w:val="22"/>
          <w:szCs w:val="22"/>
        </w:rPr>
        <w:t xml:space="preserve">                </w:t>
      </w:r>
    </w:p>
    <w:p w:rsidR="002C78E9" w:rsidRPr="00A2453C" w:rsidRDefault="002569DB" w:rsidP="00F07E6B">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2569DB" w:rsidP="00F07E6B">
      <w:pPr>
        <w:pStyle w:val="a8"/>
        <w:tabs>
          <w:tab w:val="left" w:pos="0"/>
        </w:tabs>
        <w:ind w:left="0"/>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2569DB" w:rsidP="00F07E6B">
      <w:pPr>
        <w:pStyle w:val="a8"/>
        <w:tabs>
          <w:tab w:val="left" w:pos="0"/>
        </w:tabs>
        <w:ind w:left="0"/>
        <w:jc w:val="both"/>
        <w:rPr>
          <w:color w:val="000000"/>
          <w:sz w:val="22"/>
          <w:szCs w:val="22"/>
        </w:rPr>
      </w:pPr>
      <w:r>
        <w:rPr>
          <w:color w:val="000000"/>
          <w:sz w:val="22"/>
          <w:szCs w:val="22"/>
        </w:rPr>
        <w:t>5.2.</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2569DB" w:rsidP="00F07E6B">
      <w:pPr>
        <w:pStyle w:val="a8"/>
        <w:tabs>
          <w:tab w:val="left" w:pos="0"/>
        </w:tabs>
        <w:ind w:left="0"/>
        <w:jc w:val="both"/>
        <w:rPr>
          <w:color w:val="000000"/>
          <w:sz w:val="22"/>
          <w:szCs w:val="22"/>
        </w:rPr>
      </w:pPr>
      <w:r>
        <w:rPr>
          <w:color w:val="000000"/>
          <w:sz w:val="22"/>
          <w:szCs w:val="22"/>
        </w:rPr>
        <w:t>5.3.</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2569DB" w:rsidP="00F07E6B">
      <w:pPr>
        <w:pStyle w:val="a8"/>
        <w:tabs>
          <w:tab w:val="left" w:pos="0"/>
        </w:tabs>
        <w:ind w:left="0"/>
        <w:jc w:val="both"/>
        <w:rPr>
          <w:color w:val="000000"/>
          <w:sz w:val="22"/>
          <w:szCs w:val="22"/>
        </w:rPr>
      </w:pPr>
      <w:r>
        <w:rPr>
          <w:color w:val="000000"/>
          <w:sz w:val="22"/>
          <w:szCs w:val="22"/>
        </w:rPr>
        <w:t>5.4.</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A502E8">
        <w:rPr>
          <w:color w:val="000000"/>
          <w:sz w:val="22"/>
          <w:szCs w:val="22"/>
        </w:rPr>
        <w:t>с даты получения</w:t>
      </w:r>
      <w:proofErr w:type="gramEnd"/>
      <w:r w:rsidR="00CE1185"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A502E8">
        <w:rPr>
          <w:color w:val="000000"/>
          <w:sz w:val="22"/>
          <w:szCs w:val="22"/>
        </w:rPr>
        <w:t>пп</w:t>
      </w:r>
      <w:proofErr w:type="spellEnd"/>
      <w:r w:rsidR="00CE1185" w:rsidRPr="00A502E8">
        <w:rPr>
          <w:color w:val="000000"/>
          <w:sz w:val="22"/>
          <w:szCs w:val="22"/>
        </w:rPr>
        <w:t xml:space="preserve">.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C47A6" w:rsidRDefault="00BC47A6" w:rsidP="00F07E6B">
      <w:pPr>
        <w:tabs>
          <w:tab w:val="left" w:pos="0"/>
        </w:tabs>
        <w:jc w:val="both"/>
        <w:rPr>
          <w:color w:val="000000"/>
          <w:sz w:val="22"/>
          <w:szCs w:val="22"/>
        </w:rPr>
      </w:pPr>
      <w:r>
        <w:rPr>
          <w:color w:val="000000"/>
          <w:sz w:val="22"/>
          <w:szCs w:val="22"/>
        </w:rPr>
        <w:t>5.5.</w:t>
      </w:r>
      <w:r w:rsidR="00CE1185" w:rsidRPr="00BC47A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C47A6">
        <w:rPr>
          <w:sz w:val="22"/>
          <w:szCs w:val="22"/>
        </w:rPr>
        <w:t xml:space="preserve">убытки в полной сумме сверх неустойки, в том числе упущенную выгоду. </w:t>
      </w:r>
    </w:p>
    <w:p w:rsidR="00A2453C" w:rsidRPr="00BC47A6" w:rsidRDefault="00BC47A6" w:rsidP="00F07E6B">
      <w:pPr>
        <w:tabs>
          <w:tab w:val="left" w:pos="0"/>
        </w:tabs>
        <w:jc w:val="both"/>
        <w:rPr>
          <w:color w:val="000000"/>
          <w:sz w:val="22"/>
          <w:szCs w:val="22"/>
        </w:rPr>
      </w:pPr>
      <w:r>
        <w:rPr>
          <w:color w:val="000000"/>
          <w:sz w:val="22"/>
          <w:szCs w:val="22"/>
        </w:rPr>
        <w:t>5.6.</w:t>
      </w:r>
      <w:r w:rsidR="00CE1185" w:rsidRPr="00BC47A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C47A6">
        <w:rPr>
          <w:color w:val="000000"/>
        </w:rPr>
        <w:t>.</w:t>
      </w:r>
    </w:p>
    <w:p w:rsidR="00CE1185" w:rsidRPr="00A2453C" w:rsidRDefault="00BC47A6" w:rsidP="00F07E6B">
      <w:pPr>
        <w:tabs>
          <w:tab w:val="left" w:pos="0"/>
        </w:tabs>
        <w:jc w:val="both"/>
        <w:rPr>
          <w:b/>
          <w:bCs/>
          <w:i/>
          <w:iCs/>
          <w:color w:val="FF0000"/>
          <w:sz w:val="22"/>
          <w:szCs w:val="22"/>
        </w:rPr>
      </w:pPr>
      <w:r>
        <w:rPr>
          <w:sz w:val="22"/>
        </w:rPr>
        <w:t>5.7.</w:t>
      </w:r>
      <w:r w:rsidR="00A2453C" w:rsidRPr="00BC47A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F07E6B">
      <w:pPr>
        <w:shd w:val="clear" w:color="auto" w:fill="FFFFFF"/>
        <w:tabs>
          <w:tab w:val="left" w:pos="284"/>
        </w:tabs>
        <w:jc w:val="center"/>
        <w:rPr>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C47A6" w:rsidP="00F07E6B">
      <w:pPr>
        <w:widowControl w:val="0"/>
        <w:shd w:val="clear" w:color="auto" w:fill="FFFFFF"/>
        <w:tabs>
          <w:tab w:val="left" w:pos="931"/>
        </w:tabs>
        <w:autoSpaceDE w:val="0"/>
        <w:autoSpaceDN w:val="0"/>
        <w:adjustRightInd w:val="0"/>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F07E6B">
      <w:pPr>
        <w:widowControl w:val="0"/>
        <w:shd w:val="clear" w:color="auto" w:fill="FFFFFF"/>
        <w:autoSpaceDE w:val="0"/>
        <w:autoSpaceDN w:val="0"/>
        <w:adjustRightInd w:val="0"/>
        <w:jc w:val="both"/>
        <w:rPr>
          <w:color w:val="000000"/>
          <w:sz w:val="22"/>
          <w:szCs w:val="22"/>
        </w:rPr>
      </w:pPr>
      <w:r>
        <w:rPr>
          <w:color w:val="000000"/>
          <w:sz w:val="22"/>
          <w:szCs w:val="22"/>
        </w:rPr>
        <w:t xml:space="preserve"> </w:t>
      </w:r>
      <w:r w:rsidR="00BC47A6">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BC47A6" w:rsidP="00F07E6B">
      <w:pPr>
        <w:widowControl w:val="0"/>
        <w:shd w:val="clear" w:color="auto" w:fill="FFFFFF"/>
        <w:tabs>
          <w:tab w:val="left" w:pos="931"/>
        </w:tabs>
        <w:autoSpaceDE w:val="0"/>
        <w:autoSpaceDN w:val="0"/>
        <w:adjustRightInd w:val="0"/>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F07E6B">
      <w:pPr>
        <w:shd w:val="clear" w:color="auto" w:fill="FFFFFF"/>
        <w:tabs>
          <w:tab w:val="left" w:pos="931"/>
        </w:tabs>
        <w:jc w:val="center"/>
        <w:rPr>
          <w:b/>
          <w:bCs/>
          <w:i/>
          <w:color w:val="000000"/>
          <w:sz w:val="22"/>
          <w:szCs w:val="22"/>
        </w:rPr>
      </w:pPr>
    </w:p>
    <w:p w:rsidR="002C78E9" w:rsidRPr="0041756A" w:rsidRDefault="00BC47A6" w:rsidP="00F07E6B">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C47A6" w:rsidP="00F07E6B">
      <w:pPr>
        <w:pStyle w:val="a8"/>
        <w:shd w:val="clear" w:color="auto" w:fill="FFFFFF"/>
        <w:ind w:left="0"/>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C47A6" w:rsidP="00F07E6B">
      <w:pPr>
        <w:pStyle w:val="a8"/>
        <w:shd w:val="clear" w:color="auto" w:fill="FFFFFF"/>
        <w:tabs>
          <w:tab w:val="left" w:pos="709"/>
        </w:tabs>
        <w:ind w:left="0"/>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BC47A6" w:rsidP="00F07E6B">
      <w:pPr>
        <w:shd w:val="clear" w:color="auto" w:fill="FFFFFF"/>
        <w:tabs>
          <w:tab w:val="left" w:pos="709"/>
        </w:tabs>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C47A6" w:rsidP="00F07E6B">
      <w:pPr>
        <w:widowControl w:val="0"/>
        <w:shd w:val="clear" w:color="auto" w:fill="FFFFFF"/>
        <w:tabs>
          <w:tab w:val="left" w:pos="931"/>
        </w:tabs>
        <w:autoSpaceDE w:val="0"/>
        <w:autoSpaceDN w:val="0"/>
        <w:adjustRightInd w:val="0"/>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C47A6" w:rsidP="00F07E6B">
      <w:pPr>
        <w:widowControl w:val="0"/>
        <w:shd w:val="clear" w:color="auto" w:fill="FFFFFF"/>
        <w:tabs>
          <w:tab w:val="left" w:pos="567"/>
        </w:tabs>
        <w:autoSpaceDE w:val="0"/>
        <w:autoSpaceDN w:val="0"/>
        <w:adjustRightInd w:val="0"/>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C47A6" w:rsidP="00F07E6B">
      <w:pPr>
        <w:pStyle w:val="a8"/>
        <w:shd w:val="clear" w:color="auto" w:fill="FFFFFF"/>
        <w:tabs>
          <w:tab w:val="left" w:pos="709"/>
        </w:tabs>
        <w:ind w:left="0"/>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BC47A6" w:rsidP="00F07E6B">
      <w:pPr>
        <w:pStyle w:val="a8"/>
        <w:shd w:val="clear" w:color="auto" w:fill="FFFFFF"/>
        <w:tabs>
          <w:tab w:val="left" w:pos="567"/>
        </w:tabs>
        <w:ind w:left="0"/>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F07E6B">
      <w:pPr>
        <w:shd w:val="clear" w:color="auto" w:fill="FFFFFF"/>
        <w:tabs>
          <w:tab w:val="left" w:pos="924"/>
        </w:tabs>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C47A6" w:rsidP="00F07E6B">
      <w:pPr>
        <w:widowControl w:val="0"/>
        <w:shd w:val="clear" w:color="auto" w:fill="FFFFFF"/>
        <w:tabs>
          <w:tab w:val="left" w:pos="709"/>
        </w:tabs>
        <w:autoSpaceDE w:val="0"/>
        <w:autoSpaceDN w:val="0"/>
        <w:adjustRightInd w:val="0"/>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BC47A6" w:rsidP="00F07E6B">
      <w:pPr>
        <w:pStyle w:val="a8"/>
        <w:shd w:val="clear" w:color="auto" w:fill="FFFFFF"/>
        <w:tabs>
          <w:tab w:val="left" w:pos="709"/>
        </w:tabs>
        <w:ind w:left="0"/>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C47A6" w:rsidP="00F07E6B">
      <w:pPr>
        <w:pStyle w:val="a8"/>
        <w:shd w:val="clear" w:color="auto" w:fill="FFFFFF"/>
        <w:tabs>
          <w:tab w:val="left" w:pos="709"/>
          <w:tab w:val="left" w:pos="996"/>
        </w:tabs>
        <w:ind w:left="0"/>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C47A6" w:rsidP="00F07E6B">
      <w:pPr>
        <w:pStyle w:val="a8"/>
        <w:tabs>
          <w:tab w:val="left" w:pos="709"/>
        </w:tabs>
        <w:ind w:left="0"/>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BC47A6" w:rsidP="00F07E6B">
      <w:pPr>
        <w:tabs>
          <w:tab w:val="left" w:pos="284"/>
        </w:tabs>
        <w:rPr>
          <w:b/>
          <w:i/>
          <w:iCs/>
          <w:color w:val="002060"/>
          <w:sz w:val="22"/>
          <w:szCs w:val="22"/>
        </w:rPr>
      </w:pPr>
      <w:r>
        <w:rPr>
          <w:rFonts w:eastAsia="Lucida Sans Unicode"/>
          <w:b/>
          <w:kern w:val="1"/>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BC47A6" w:rsidP="00F07E6B">
      <w:pPr>
        <w:widowControl w:val="0"/>
        <w:tabs>
          <w:tab w:val="left" w:pos="993"/>
        </w:tabs>
        <w:suppressAutoHyphens/>
        <w:contextualSpacing/>
        <w:jc w:val="both"/>
        <w:rPr>
          <w:sz w:val="22"/>
          <w:szCs w:val="22"/>
        </w:rPr>
      </w:pPr>
      <w:r>
        <w:rPr>
          <w:b/>
          <w:sz w:val="22"/>
          <w:szCs w:val="22"/>
        </w:rPr>
        <w:t>9</w:t>
      </w:r>
      <w:r w:rsidR="00224D07" w:rsidRPr="0056548D">
        <w:rPr>
          <w:b/>
          <w:sz w:val="22"/>
          <w:szCs w:val="22"/>
        </w:rPr>
        <w:t>.</w:t>
      </w:r>
      <w:r w:rsidR="007C06B7">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BC47A6" w:rsidP="00F07E6B">
      <w:pPr>
        <w:tabs>
          <w:tab w:val="left" w:pos="993"/>
        </w:tabs>
        <w:suppressAutoHyphens/>
        <w:contextualSpacing/>
        <w:jc w:val="both"/>
        <w:rPr>
          <w:sz w:val="22"/>
          <w:szCs w:val="22"/>
        </w:rPr>
      </w:pPr>
      <w:r>
        <w:rPr>
          <w:b/>
          <w:sz w:val="22"/>
          <w:szCs w:val="22"/>
        </w:rPr>
        <w:t>9</w:t>
      </w:r>
      <w:r w:rsidR="00224D07" w:rsidRPr="00443762">
        <w:rPr>
          <w:b/>
          <w:sz w:val="22"/>
          <w:szCs w:val="22"/>
        </w:rPr>
        <w:t>.</w:t>
      </w:r>
      <w:r w:rsidR="007C06B7">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w:t>
      </w:r>
      <w:r w:rsidR="007C06B7">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w:t>
      </w:r>
      <w:r w:rsidR="007C06B7">
        <w:rPr>
          <w:b/>
          <w:sz w:val="22"/>
          <w:szCs w:val="22"/>
        </w:rPr>
        <w:t>0</w:t>
      </w:r>
      <w:bookmarkStart w:id="0" w:name="_GoBack"/>
      <w:bookmarkEnd w:id="0"/>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F07E6B">
      <w:pPr>
        <w:widowControl w:val="0"/>
        <w:tabs>
          <w:tab w:val="left" w:pos="993"/>
        </w:tabs>
        <w:suppressAutoHyphens/>
        <w:contextualSpacing/>
        <w:jc w:val="both"/>
        <w:rPr>
          <w:b/>
          <w:i/>
          <w:sz w:val="22"/>
          <w:szCs w:val="22"/>
        </w:rPr>
      </w:pPr>
    </w:p>
    <w:p w:rsidR="002C78E9" w:rsidRPr="00884B2D" w:rsidRDefault="002C78E9" w:rsidP="00F07E6B">
      <w:pPr>
        <w:jc w:val="center"/>
        <w:rPr>
          <w:b/>
          <w:i/>
          <w:sz w:val="22"/>
          <w:szCs w:val="22"/>
        </w:rPr>
      </w:pPr>
      <w:r w:rsidRPr="00884B2D">
        <w:rPr>
          <w:b/>
          <w:i/>
          <w:sz w:val="22"/>
          <w:szCs w:val="22"/>
        </w:rPr>
        <w:t>1</w:t>
      </w:r>
      <w:r w:rsidR="00BC47A6">
        <w:rPr>
          <w:b/>
          <w:i/>
          <w:sz w:val="22"/>
          <w:szCs w:val="22"/>
        </w:rPr>
        <w:t>0</w:t>
      </w:r>
      <w:r w:rsidRPr="00884B2D">
        <w:rPr>
          <w:b/>
          <w:i/>
          <w:sz w:val="22"/>
          <w:szCs w:val="22"/>
        </w:rPr>
        <w:t>. ЮРИДИЧЕСКИЕ АДРЕСА И РЕКВИЗИТЫ СТОРОН</w:t>
      </w:r>
    </w:p>
    <w:p w:rsidR="00D2285D" w:rsidRPr="00884B2D" w:rsidRDefault="00D2285D" w:rsidP="00F07E6B">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F07E6B">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F07E6B">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F07E6B">
            <w:pPr>
              <w:pStyle w:val="a3"/>
              <w:tabs>
                <w:tab w:val="left" w:pos="5812"/>
              </w:tabs>
              <w:jc w:val="left"/>
              <w:rPr>
                <w:sz w:val="22"/>
                <w:szCs w:val="22"/>
              </w:rPr>
            </w:pPr>
            <w:r w:rsidRPr="00884B2D">
              <w:rPr>
                <w:spacing w:val="-3"/>
                <w:sz w:val="22"/>
                <w:szCs w:val="22"/>
              </w:rPr>
              <w:t>ИНН 2801108200</w:t>
            </w:r>
          </w:p>
          <w:p w:rsidR="009F153A" w:rsidRPr="00884B2D" w:rsidRDefault="009F153A" w:rsidP="00F07E6B">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F07E6B">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F07E6B">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F07E6B">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F07E6B">
            <w:pPr>
              <w:pStyle w:val="a3"/>
              <w:jc w:val="left"/>
              <w:rPr>
                <w:i/>
                <w:spacing w:val="-3"/>
                <w:sz w:val="22"/>
                <w:szCs w:val="22"/>
              </w:rPr>
            </w:pPr>
            <w:r w:rsidRPr="00884B2D">
              <w:rPr>
                <w:i/>
                <w:spacing w:val="-3"/>
                <w:sz w:val="22"/>
                <w:szCs w:val="22"/>
              </w:rPr>
              <w:t>Банковские реквизиты:</w:t>
            </w:r>
          </w:p>
          <w:p w:rsidR="009F153A" w:rsidRPr="00884B2D" w:rsidRDefault="009F153A" w:rsidP="00F07E6B">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F07E6B">
            <w:pPr>
              <w:pStyle w:val="a3"/>
              <w:jc w:val="left"/>
              <w:rPr>
                <w:spacing w:val="-3"/>
                <w:sz w:val="22"/>
                <w:szCs w:val="22"/>
              </w:rPr>
            </w:pPr>
            <w:r w:rsidRPr="00884B2D">
              <w:rPr>
                <w:spacing w:val="-3"/>
                <w:sz w:val="22"/>
                <w:szCs w:val="22"/>
              </w:rPr>
              <w:t>г. Хабаровск</w:t>
            </w:r>
          </w:p>
          <w:p w:rsidR="009F153A" w:rsidRPr="00884B2D" w:rsidRDefault="009F153A" w:rsidP="00F07E6B">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F07E6B">
            <w:pPr>
              <w:pStyle w:val="a3"/>
              <w:rPr>
                <w:spacing w:val="-1"/>
                <w:sz w:val="22"/>
                <w:szCs w:val="22"/>
              </w:rPr>
            </w:pPr>
            <w:r w:rsidRPr="00884B2D">
              <w:rPr>
                <w:spacing w:val="-1"/>
                <w:sz w:val="22"/>
                <w:szCs w:val="22"/>
              </w:rPr>
              <w:t>К/сч. 30101810600000000608</w:t>
            </w:r>
          </w:p>
          <w:p w:rsidR="009F153A" w:rsidRPr="00884B2D" w:rsidRDefault="009F153A" w:rsidP="00F07E6B">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F07E6B">
            <w:pPr>
              <w:pStyle w:val="a3"/>
              <w:numPr>
                <w:ilvl w:val="12"/>
                <w:numId w:val="0"/>
              </w:numPr>
              <w:rPr>
                <w:i/>
                <w:sz w:val="22"/>
                <w:szCs w:val="22"/>
              </w:rPr>
            </w:pPr>
            <w:r w:rsidRPr="00884B2D">
              <w:rPr>
                <w:i/>
                <w:sz w:val="22"/>
                <w:szCs w:val="22"/>
              </w:rPr>
              <w:t>Тел./Факс:(416-2)39-71-69; 39-73-07; 39-72-49</w:t>
            </w:r>
          </w:p>
          <w:p w:rsidR="009F153A" w:rsidRPr="00884B2D" w:rsidRDefault="009F153A" w:rsidP="00F07E6B">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F07E6B">
            <w:pPr>
              <w:tabs>
                <w:tab w:val="left" w:pos="924"/>
              </w:tabs>
              <w:jc w:val="both"/>
            </w:pPr>
          </w:p>
          <w:p w:rsidR="009F153A" w:rsidRPr="00884B2D" w:rsidRDefault="009F153A" w:rsidP="00F07E6B">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F07E6B">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Default="009F153A" w:rsidP="00F07E6B">
            <w:pPr>
              <w:tabs>
                <w:tab w:val="left" w:pos="924"/>
              </w:tabs>
              <w:jc w:val="both"/>
              <w:rPr>
                <w:b/>
                <w:bCs/>
                <w:color w:val="000000"/>
                <w:sz w:val="22"/>
                <w:szCs w:val="22"/>
              </w:rPr>
            </w:pPr>
            <w:r w:rsidRPr="00884B2D">
              <w:rPr>
                <w:b/>
                <w:sz w:val="22"/>
                <w:szCs w:val="22"/>
              </w:rPr>
              <w:t>___________________________</w:t>
            </w:r>
          </w:p>
        </w:tc>
      </w:tr>
    </w:tbl>
    <w:p w:rsidR="008A774F" w:rsidRDefault="008A774F" w:rsidP="00F07E6B">
      <w:pPr>
        <w:pStyle w:val="2"/>
        <w:jc w:val="center"/>
        <w:rPr>
          <w:sz w:val="22"/>
          <w:szCs w:val="22"/>
        </w:rPr>
      </w:pPr>
    </w:p>
    <w:p w:rsidR="000A0023" w:rsidRDefault="000A0023" w:rsidP="00F07E6B">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5" w:name="RANGE!A1:E51"/>
            <w:r w:rsidRPr="0041756A">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CF7F86" w:rsidRDefault="00D90714" w:rsidP="00CF7F86">
      <w:pPr>
        <w:tabs>
          <w:tab w:val="left" w:pos="1725"/>
        </w:tabs>
        <w:jc w:val="right"/>
        <w:rPr>
          <w:b/>
        </w:rPr>
      </w:pPr>
    </w:p>
    <w:p w:rsidR="00164F19" w:rsidRPr="00CF7F86" w:rsidRDefault="00164F19" w:rsidP="00CF7F86">
      <w:pPr>
        <w:ind w:firstLine="708"/>
        <w:jc w:val="center"/>
      </w:pPr>
      <w:r w:rsidRPr="00CF7F86">
        <w:t xml:space="preserve">ТРЕБОВАНИЯ К БАНКУ-ГАРАНТУ </w:t>
      </w:r>
    </w:p>
    <w:p w:rsidR="00164F19" w:rsidRPr="00CF7F86" w:rsidRDefault="00164F19" w:rsidP="00CF7F86">
      <w:pPr>
        <w:jc w:val="both"/>
      </w:pPr>
      <w:r w:rsidRPr="00CF7F86">
        <w:tab/>
      </w:r>
    </w:p>
    <w:p w:rsidR="00164F19" w:rsidRPr="00CF7F86" w:rsidRDefault="00164F19" w:rsidP="00CF7F86">
      <w:pPr>
        <w:jc w:val="both"/>
      </w:pPr>
      <w:r w:rsidRPr="00CF7F86">
        <w:t xml:space="preserve">        Банк, выдавший гарантию, должен соответствовать следующим критериям:</w:t>
      </w:r>
    </w:p>
    <w:p w:rsidR="00164F19" w:rsidRPr="00CF7F86" w:rsidRDefault="00164F19" w:rsidP="00CF7F86">
      <w:pPr>
        <w:jc w:val="both"/>
      </w:pPr>
      <w:r w:rsidRPr="00CF7F86">
        <w:t xml:space="preserve">        - входить в Перечень Банков-Гарантов, утвержденный Советом директоров Общества.</w:t>
      </w:r>
    </w:p>
    <w:p w:rsidR="00164F19" w:rsidRPr="00CF7F86" w:rsidRDefault="00164F19" w:rsidP="00CF7F86">
      <w:pPr>
        <w:jc w:val="both"/>
      </w:pPr>
    </w:p>
    <w:p w:rsidR="00164F19" w:rsidRPr="00CF7F86" w:rsidRDefault="00164F19" w:rsidP="00CF7F86">
      <w:pPr>
        <w:tabs>
          <w:tab w:val="num" w:pos="540"/>
        </w:tabs>
        <w:jc w:val="center"/>
      </w:pPr>
      <w:r w:rsidRPr="00CF7F86">
        <w:t>УСЛОВИЯ БАНКОВСКОЙ ГАРАНТИИ</w:t>
      </w:r>
    </w:p>
    <w:p w:rsidR="00164F19" w:rsidRPr="00CF7F86" w:rsidRDefault="00164F19" w:rsidP="00CF7F86">
      <w:pPr>
        <w:ind w:firstLine="426"/>
        <w:jc w:val="both"/>
      </w:pPr>
      <w:r w:rsidRPr="00CF7F86">
        <w:t>Условия банковской гарантии возврата предварительной оплаты (аванса)/надлежащего исполнения обязательств по Договору</w:t>
      </w:r>
    </w:p>
    <w:p w:rsidR="00164F19" w:rsidRPr="00CF7F86" w:rsidRDefault="00164F19" w:rsidP="00CF7F86">
      <w:pPr>
        <w:tabs>
          <w:tab w:val="num" w:pos="540"/>
        </w:tabs>
        <w:ind w:firstLine="426"/>
        <w:jc w:val="both"/>
        <w:rPr>
          <w:color w:val="000000"/>
        </w:rPr>
      </w:pPr>
      <w:proofErr w:type="gramStart"/>
      <w:r w:rsidRPr="00CF7F86">
        <w:rPr>
          <w:bCs/>
        </w:rPr>
        <w:t xml:space="preserve">Под банковской гарантией понимается гарантия согласованного Контрагентом Банка из Перечня </w:t>
      </w:r>
      <w:r w:rsidRPr="00CF7F86">
        <w:t>Банков-Гарантов, утвержденных Советом Директоров АО «ДРСК»</w:t>
      </w:r>
      <w:r w:rsidRPr="00CF7F86">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CF7F86">
        <w:rPr>
          <w:bCs/>
        </w:rPr>
        <w:t>Uniform</w:t>
      </w:r>
      <w:proofErr w:type="spellEnd"/>
      <w:r w:rsidRPr="00CF7F86">
        <w:rPr>
          <w:bCs/>
        </w:rPr>
        <w:t xml:space="preserve"> </w:t>
      </w:r>
      <w:proofErr w:type="spellStart"/>
      <w:r w:rsidRPr="00CF7F86">
        <w:rPr>
          <w:bCs/>
        </w:rPr>
        <w:t>Rules</w:t>
      </w:r>
      <w:proofErr w:type="spellEnd"/>
      <w:r w:rsidRPr="00CF7F86">
        <w:rPr>
          <w:bCs/>
        </w:rPr>
        <w:t xml:space="preserve"> </w:t>
      </w:r>
      <w:proofErr w:type="spellStart"/>
      <w:r w:rsidRPr="00CF7F86">
        <w:rPr>
          <w:bCs/>
        </w:rPr>
        <w:t>Demand</w:t>
      </w:r>
      <w:proofErr w:type="spellEnd"/>
      <w:r w:rsidRPr="00CF7F86">
        <w:rPr>
          <w:bCs/>
        </w:rPr>
        <w:t xml:space="preserve"> </w:t>
      </w:r>
      <w:proofErr w:type="spellStart"/>
      <w:r w:rsidRPr="00CF7F86">
        <w:rPr>
          <w:bCs/>
        </w:rPr>
        <w:t>Guarantees</w:t>
      </w:r>
      <w:proofErr w:type="spellEnd"/>
      <w:r w:rsidRPr="00CF7F86">
        <w:rPr>
          <w:bCs/>
        </w:rPr>
        <w:t xml:space="preserve"> – ICC </w:t>
      </w:r>
      <w:proofErr w:type="spellStart"/>
      <w:r w:rsidRPr="00CF7F86">
        <w:rPr>
          <w:bCs/>
        </w:rPr>
        <w:t>Publication</w:t>
      </w:r>
      <w:proofErr w:type="spellEnd"/>
      <w:r w:rsidRPr="00CF7F86">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F7F86">
        <w:rPr>
          <w:color w:val="000000"/>
        </w:rPr>
        <w:t>:</w:t>
      </w:r>
      <w:proofErr w:type="gramEnd"/>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банковская гарантия должна быть безотзывной и безусловной (гарантия по первому требованию);</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бенефициаром по банковской гарантии должно выступать Общество, принципалом – Контрагент;</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должна быть выражена в валюте расчетов по Договору;</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r w:rsidR="00987FD4" w:rsidRPr="00CF7F86">
        <w:rPr>
          <w:color w:val="000000"/>
        </w:rPr>
        <w:t>,</w:t>
      </w:r>
      <w:r w:rsidR="00987FD4" w:rsidRPr="00CF7F86">
        <w:t xml:space="preserve"> превышающих 5 000 000 (пять миллионов) рублей (без учета НДС)</w:t>
      </w:r>
      <w:r w:rsidR="00987FD4"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надлежащего исполнения обязательств по Договору должна составлять не менее:</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10 (десяти) процентов от цены Договора / объекта;</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F7F86">
        <w:rPr>
          <w:color w:val="000000"/>
          <w:vertAlign w:val="superscript"/>
        </w:rPr>
        <w:footnoteReference w:id="1"/>
      </w:r>
      <w:r w:rsidRPr="00CF7F86">
        <w:rPr>
          <w:color w:val="000000"/>
        </w:rPr>
        <w:t xml:space="preserve">, или не ранее 70 (семидесяти) календарных дней </w:t>
      </w:r>
      <w:proofErr w:type="gramStart"/>
      <w:r w:rsidRPr="00CF7F86">
        <w:rPr>
          <w:color w:val="000000"/>
        </w:rPr>
        <w:t>с даты окончания</w:t>
      </w:r>
      <w:proofErr w:type="gramEnd"/>
      <w:r w:rsidRPr="00CF7F86">
        <w:rPr>
          <w:color w:val="000000"/>
        </w:rPr>
        <w:t xml:space="preserve"> гарантийного срока    на объект</w:t>
      </w:r>
      <w:r w:rsidRPr="00CF7F86">
        <w:rPr>
          <w:color w:val="000000"/>
          <w:vertAlign w:val="superscript"/>
        </w:rPr>
        <w:footnoteReference w:id="2"/>
      </w:r>
      <w:r w:rsidRPr="00CF7F86">
        <w:rPr>
          <w:color w:val="000000"/>
        </w:rPr>
        <w:t>.</w:t>
      </w:r>
    </w:p>
    <w:p w:rsidR="00164F19" w:rsidRPr="00CF7F86" w:rsidRDefault="00164F19" w:rsidP="00CF7F86">
      <w:pPr>
        <w:ind w:firstLine="426"/>
        <w:jc w:val="both"/>
      </w:pPr>
      <w:r w:rsidRPr="00CF7F86">
        <w:rPr>
          <w:bCs/>
        </w:rPr>
        <w:t xml:space="preserve">В банковской гарантии должно быть предусмотрено, что </w:t>
      </w:r>
      <w:r w:rsidRPr="00CF7F86">
        <w:rPr>
          <w:bCs/>
        </w:rPr>
        <w:br/>
        <w:t xml:space="preserve">для истребования суммы обеспечения Общество направляет Банку-Гаранту только письменное требование о предъявлении суммы обеспечения, </w:t>
      </w:r>
      <w:r w:rsidRPr="00CF7F86">
        <w:rPr>
          <w:bCs/>
        </w:rPr>
        <w:br/>
        <w:t>как полностью, так и частично, к оплате, с указанием на существо допущенных Контрагентом нарушений, в том числе в случаях</w:t>
      </w:r>
      <w:r w:rsidRPr="00CF7F86">
        <w:t>:</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отказа Контрагента от исполнения обязательств, в том числе одностороннего расторжения Договора;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 случае отказа Контрагента от возврата неотработанного аванса в сроки и порядке, установленные Договором; </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нарушения Контрагентом графика поставки (выполнения работ, оказания услуг) более чем на 60 (шестьдесят) календарных дней;</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 введения в отношении Контрагента наблюдения или любой иной стадии процедуры банкротства;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выявления фактов предъявления Контрагентом Обществу ложной </w:t>
      </w:r>
      <w:r w:rsidRPr="00CF7F86">
        <w:rPr>
          <w:color w:val="000000"/>
        </w:rPr>
        <w:br/>
        <w:t>или недостоверной информации на этапе проведения отбора, заключения и/или исполнения Договора;</w:t>
      </w:r>
    </w:p>
    <w:p w:rsidR="00164F19" w:rsidRPr="00CF7F86" w:rsidRDefault="00164F19" w:rsidP="00CF7F86">
      <w:pPr>
        <w:numPr>
          <w:ilvl w:val="0"/>
          <w:numId w:val="31"/>
        </w:numPr>
        <w:tabs>
          <w:tab w:val="left" w:pos="1134"/>
        </w:tabs>
        <w:ind w:left="0" w:firstLine="426"/>
        <w:jc w:val="both"/>
      </w:pPr>
      <w:r w:rsidRPr="00CF7F86">
        <w:rPr>
          <w:color w:val="000000"/>
        </w:rPr>
        <w:t>признания сделки недействительной по причинам отсутствия необходимых</w:t>
      </w:r>
      <w:r w:rsidRPr="00CF7F86">
        <w:t xml:space="preserve"> корпоративных одобрений у Контрагента;</w:t>
      </w:r>
    </w:p>
    <w:p w:rsidR="00164F19" w:rsidRPr="00CF7F86" w:rsidRDefault="00164F19" w:rsidP="00CF7F86">
      <w:pPr>
        <w:numPr>
          <w:ilvl w:val="0"/>
          <w:numId w:val="31"/>
        </w:numPr>
        <w:tabs>
          <w:tab w:val="left" w:pos="1134"/>
        </w:tabs>
        <w:ind w:left="0" w:firstLine="426"/>
        <w:jc w:val="both"/>
      </w:pPr>
      <w:r w:rsidRPr="00CF7F86">
        <w:t xml:space="preserve">не предоставления Контрагентом в срок не </w:t>
      </w:r>
      <w:proofErr w:type="gramStart"/>
      <w:r w:rsidRPr="00CF7F86">
        <w:t>позднее</w:t>
      </w:r>
      <w:proofErr w:type="gramEnd"/>
      <w:r w:rsidRPr="00CF7F86">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164F19" w:rsidRPr="00CF7F86" w:rsidRDefault="00164F19" w:rsidP="00CF7F86">
      <w:pPr>
        <w:ind w:firstLine="426"/>
        <w:jc w:val="both"/>
        <w:rPr>
          <w:color w:val="000000"/>
        </w:rPr>
      </w:pPr>
      <w:r w:rsidRPr="00CF7F86">
        <w:rPr>
          <w:color w:val="000000"/>
        </w:rPr>
        <w:t>Вместе с требованием о предъявлении суммы обеспечения к оплате Общество направляет Банку-Гаранту копию</w:t>
      </w:r>
      <w:r w:rsidRPr="00CF7F86">
        <w:rPr>
          <w:color w:val="000000"/>
          <w:vertAlign w:val="superscript"/>
        </w:rPr>
        <w:footnoteReference w:id="3"/>
      </w:r>
      <w:r w:rsidRPr="00CF7F86">
        <w:rPr>
          <w:color w:val="000000"/>
        </w:rPr>
        <w:t xml:space="preserve"> банковской гарантии.</w:t>
      </w:r>
    </w:p>
    <w:p w:rsidR="00164F19" w:rsidRPr="00CF7F86" w:rsidRDefault="00164F19" w:rsidP="00CF7F86">
      <w:pPr>
        <w:ind w:firstLine="426"/>
        <w:jc w:val="both"/>
      </w:pPr>
      <w:r w:rsidRPr="00CF7F86">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64F19" w:rsidRPr="00CF7F86" w:rsidRDefault="00164F19" w:rsidP="00CF7F86">
      <w:pPr>
        <w:ind w:firstLine="426"/>
        <w:jc w:val="both"/>
      </w:pPr>
      <w:r w:rsidRPr="00CF7F86">
        <w:t xml:space="preserve">Платеж по банковской гарантии должен быть совершен в течение </w:t>
      </w:r>
      <w:r w:rsidRPr="00CF7F86">
        <w:br/>
        <w:t>10 (десяти) рабочих дней после обращения бенефициара (Общества).</w:t>
      </w:r>
    </w:p>
    <w:p w:rsidR="00164F19" w:rsidRPr="00CF7F86" w:rsidRDefault="00164F19" w:rsidP="00CF7F86">
      <w:pPr>
        <w:ind w:firstLine="426"/>
        <w:jc w:val="both"/>
      </w:pPr>
      <w:r w:rsidRPr="00CF7F86">
        <w:t xml:space="preserve">В банковской гарантии не должно быть требований, противоречащих </w:t>
      </w:r>
      <w:proofErr w:type="gramStart"/>
      <w:r w:rsidRPr="00CF7F86">
        <w:t>изложенному</w:t>
      </w:r>
      <w:proofErr w:type="gramEnd"/>
      <w:r w:rsidRPr="00CF7F86">
        <w:t xml:space="preserve"> или делающих изложенное неисполнимым.</w:t>
      </w:r>
    </w:p>
    <w:p w:rsidR="00164F19" w:rsidRPr="00CF7F86" w:rsidRDefault="00164F19" w:rsidP="00CF7F86">
      <w:pPr>
        <w:ind w:firstLine="426"/>
        <w:jc w:val="both"/>
      </w:pPr>
      <w:r w:rsidRPr="00CF7F86">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164F19" w:rsidRPr="00CF7F86" w:rsidRDefault="00164F19" w:rsidP="00CF7F86">
      <w:pPr>
        <w:ind w:firstLine="426"/>
        <w:jc w:val="both"/>
      </w:pPr>
      <w:r w:rsidRPr="00CF7F86">
        <w:t xml:space="preserve">В случае увеличения цены Договора или пролонгации срока </w:t>
      </w:r>
      <w:r w:rsidRPr="00CF7F86">
        <w:br/>
        <w:t>его действия банковская гарантия должна быть заменена или в нее должны быть внесены изменения, оформленные отдельным документом.</w:t>
      </w:r>
    </w:p>
    <w:p w:rsidR="00164F19" w:rsidRPr="00CF7F86" w:rsidRDefault="00164F19" w:rsidP="00CF7F86">
      <w:pPr>
        <w:ind w:firstLine="426"/>
        <w:jc w:val="both"/>
      </w:pPr>
      <w:r w:rsidRPr="00CF7F86">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164F19" w:rsidRPr="00CF7F86" w:rsidRDefault="00164F19" w:rsidP="00CF7F86">
      <w:pPr>
        <w:ind w:firstLine="426"/>
        <w:jc w:val="both"/>
        <w:rPr>
          <w:bCs/>
        </w:rPr>
      </w:pPr>
      <w:r w:rsidRPr="00CF7F86">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164F19" w:rsidRPr="00CF7F86" w:rsidRDefault="00164F19" w:rsidP="00CF7F86">
      <w:pPr>
        <w:tabs>
          <w:tab w:val="left" w:pos="0"/>
        </w:tabs>
        <w:jc w:val="center"/>
        <w:rPr>
          <w:b/>
        </w:rPr>
      </w:pPr>
      <w:r w:rsidRPr="00CF7F86">
        <w:rPr>
          <w:b/>
        </w:rPr>
        <w:t xml:space="preserve">ПЕРЕЧЕНЬ </w:t>
      </w:r>
      <w:r w:rsidR="00884B2D" w:rsidRPr="00CF7F86">
        <w:rPr>
          <w:b/>
        </w:rPr>
        <w:t>Банков-Гарантов</w:t>
      </w:r>
    </w:p>
    <w:p w:rsidR="00164F19" w:rsidRPr="00CF7F86" w:rsidRDefault="00164F19" w:rsidP="00CF7F86">
      <w:pPr>
        <w:jc w:val="both"/>
      </w:pP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827"/>
        <w:gridCol w:w="4677"/>
      </w:tblGrid>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 xml:space="preserve">№ </w:t>
            </w:r>
            <w:proofErr w:type="gramStart"/>
            <w:r w:rsidRPr="00CF7F86">
              <w:rPr>
                <w:b/>
              </w:rPr>
              <w:t>п</w:t>
            </w:r>
            <w:proofErr w:type="gramEnd"/>
            <w:r w:rsidRPr="00CF7F86">
              <w:rPr>
                <w:b/>
              </w:rPr>
              <w:t>/п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rPr>
                <w:b/>
              </w:rPr>
            </w:pPr>
            <w:r w:rsidRPr="00CF7F86">
              <w:rPr>
                <w:b/>
              </w:rPr>
              <w:t>Сокращенное фирменное наименование</w:t>
            </w:r>
          </w:p>
        </w:tc>
      </w:tr>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382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r>
    </w:tbl>
    <w:p w:rsidR="00C93C7C" w:rsidRPr="00CF7F86" w:rsidRDefault="00C93C7C" w:rsidP="00CF7F86">
      <w:pPr>
        <w:jc w:val="both"/>
      </w:pPr>
    </w:p>
    <w:p w:rsidR="00C93C7C" w:rsidRPr="00CF7F86" w:rsidRDefault="00C93C7C" w:rsidP="00CF7F86">
      <w:pPr>
        <w:ind w:firstLine="708"/>
        <w:jc w:val="center"/>
      </w:pPr>
    </w:p>
    <w:p w:rsidR="00C93C7C" w:rsidRPr="00CF7F86" w:rsidRDefault="00C93C7C" w:rsidP="00CF7F86">
      <w:pPr>
        <w:ind w:firstLine="708"/>
        <w:jc w:val="center"/>
      </w:pPr>
    </w:p>
    <w:p w:rsidR="00C93C7C" w:rsidRPr="00CF7F86" w:rsidRDefault="00C93C7C" w:rsidP="00CF7F86">
      <w:pPr>
        <w:ind w:firstLine="708"/>
        <w:jc w:val="center"/>
      </w:pPr>
    </w:p>
    <w:p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5D9" w:rsidRDefault="00C975D9" w:rsidP="00070A4C">
      <w:r>
        <w:separator/>
      </w:r>
    </w:p>
  </w:endnote>
  <w:endnote w:type="continuationSeparator" w:id="0">
    <w:p w:rsidR="00C975D9" w:rsidRDefault="00C975D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5D9" w:rsidRDefault="00C975D9" w:rsidP="00070A4C">
      <w:r>
        <w:separator/>
      </w:r>
    </w:p>
  </w:footnote>
  <w:footnote w:type="continuationSeparator" w:id="0">
    <w:p w:rsidR="00C975D9" w:rsidRDefault="00C975D9" w:rsidP="00070A4C">
      <w:r>
        <w:continuationSeparator/>
      </w:r>
    </w:p>
  </w:footnote>
  <w:footnote w:id="1">
    <w:p w:rsidR="002569DB" w:rsidRPr="00C00A42" w:rsidRDefault="002569DB" w:rsidP="00164F19">
      <w:pPr>
        <w:pStyle w:val="a9"/>
      </w:pPr>
      <w:r>
        <w:rPr>
          <w:rStyle w:val="ab"/>
        </w:rPr>
        <w:footnoteRef/>
      </w:r>
      <w:r>
        <w:t xml:space="preserve"> </w:t>
      </w:r>
      <w:r w:rsidRPr="00644ED5">
        <w:rPr>
          <w:sz w:val="16"/>
          <w:szCs w:val="16"/>
        </w:rPr>
        <w:t>Для банковской гарантии возврата авансового платежа.</w:t>
      </w:r>
    </w:p>
  </w:footnote>
  <w:footnote w:id="2">
    <w:p w:rsidR="002569DB" w:rsidRPr="00644ED5" w:rsidRDefault="002569DB" w:rsidP="00164F19">
      <w:pPr>
        <w:pStyle w:val="a9"/>
        <w:jc w:val="both"/>
        <w:rPr>
          <w:sz w:val="16"/>
          <w:szCs w:val="16"/>
        </w:rPr>
      </w:pPr>
      <w:r w:rsidRPr="00FA2D0D">
        <w:rPr>
          <w:rStyle w:val="ab"/>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569DB" w:rsidRPr="00644ED5" w:rsidRDefault="002569DB" w:rsidP="00164F19">
      <w:pPr>
        <w:pStyle w:val="a9"/>
        <w:jc w:val="both"/>
        <w:rPr>
          <w:sz w:val="16"/>
          <w:szCs w:val="16"/>
        </w:rPr>
      </w:pPr>
      <w:r w:rsidRPr="00FA2D0D">
        <w:rPr>
          <w:rStyle w:val="ab"/>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05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55857"/>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21AB"/>
    <w:rsid w:val="0021403F"/>
    <w:rsid w:val="00215625"/>
    <w:rsid w:val="00220C7D"/>
    <w:rsid w:val="00221B97"/>
    <w:rsid w:val="00221D83"/>
    <w:rsid w:val="00224D07"/>
    <w:rsid w:val="002258DF"/>
    <w:rsid w:val="00235112"/>
    <w:rsid w:val="00235D90"/>
    <w:rsid w:val="002471D3"/>
    <w:rsid w:val="00251689"/>
    <w:rsid w:val="002569DB"/>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C06B7"/>
    <w:rsid w:val="007D3864"/>
    <w:rsid w:val="007E29E2"/>
    <w:rsid w:val="007E3337"/>
    <w:rsid w:val="007F2B3C"/>
    <w:rsid w:val="007F4987"/>
    <w:rsid w:val="00805BF7"/>
    <w:rsid w:val="00817EF3"/>
    <w:rsid w:val="00845C24"/>
    <w:rsid w:val="008503D5"/>
    <w:rsid w:val="00853CC0"/>
    <w:rsid w:val="008711C5"/>
    <w:rsid w:val="00884B2D"/>
    <w:rsid w:val="00884EC3"/>
    <w:rsid w:val="00893B06"/>
    <w:rsid w:val="00893EAF"/>
    <w:rsid w:val="008A1941"/>
    <w:rsid w:val="008A774F"/>
    <w:rsid w:val="008C5E64"/>
    <w:rsid w:val="008D5310"/>
    <w:rsid w:val="008E5C6B"/>
    <w:rsid w:val="008F64CC"/>
    <w:rsid w:val="00902379"/>
    <w:rsid w:val="00904483"/>
    <w:rsid w:val="009308AA"/>
    <w:rsid w:val="00940611"/>
    <w:rsid w:val="00944751"/>
    <w:rsid w:val="009512DF"/>
    <w:rsid w:val="00956F70"/>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C47A6"/>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975D9"/>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2F86"/>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07E6B"/>
    <w:rsid w:val="00F31D32"/>
    <w:rsid w:val="00F35BEE"/>
    <w:rsid w:val="00F56E2E"/>
    <w:rsid w:val="00F6119A"/>
    <w:rsid w:val="00F6234E"/>
    <w:rsid w:val="00F645E5"/>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DA903-27EE-4ABF-A067-97760D500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5564</Words>
  <Characters>31717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3</cp:revision>
  <cp:lastPrinted>2017-07-07T02:28:00Z</cp:lastPrinted>
  <dcterms:created xsi:type="dcterms:W3CDTF">2017-11-07T23:38:00Z</dcterms:created>
  <dcterms:modified xsi:type="dcterms:W3CDTF">2017-11-07T23:39:00Z</dcterms:modified>
</cp:coreProperties>
</file>