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Style0"/>
        <w:tblW w:w="0" w:type="auto"/>
        <w:tblInd w:w="0" w:type="dxa"/>
        <w:tblLayout w:type="fixed"/>
        <w:tblCellMar>
          <w:top w:w="0" w:type="dxa"/>
          <w:left w:w="0" w:type="dxa"/>
          <w:bottom w:w="0" w:type="dxa"/>
          <w:right w:w="0" w:type="dxa"/>
        </w:tblCellMar>
        <w:tblLook w:val="04A0" w:firstRow="1" w:lastRow="0" w:firstColumn="1" w:lastColumn="0" w:noHBand="0" w:noVBand="1"/>
      </w:tblPr>
      <w:tblGrid>
        <w:gridCol w:w="499"/>
        <w:gridCol w:w="1654"/>
        <w:gridCol w:w="2783"/>
        <w:gridCol w:w="1089"/>
        <w:gridCol w:w="3833"/>
      </w:tblGrid>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center"/>
            </w:pPr>
            <w:r>
              <w:rPr>
                <w:b/>
                <w:szCs w:val="16"/>
              </w:rPr>
              <w:t>ДОГОВОР №  00025  на энергоснабжение (1-6 ценовая категория)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center"/>
            </w:pPr>
            <w:r>
              <w:rPr>
                <w:b/>
                <w:szCs w:val="16"/>
              </w:rPr>
              <w:t>между ПАО "Якутскэнерго"</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center"/>
            </w:pPr>
            <w:r>
              <w:rPr>
                <w:b/>
                <w:szCs w:val="16"/>
              </w:rPr>
              <w:t>и  Акционерным обществом "Дальневосточная распределительная сетевая компания" (АО "ДРСК")</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1B41C4">
            <w:pPr>
              <w:jc w:val="both"/>
            </w:pPr>
          </w:p>
        </w:tc>
        <w:tc>
          <w:tcPr>
            <w:tcW w:w="1654" w:type="dxa"/>
            <w:shd w:val="clear" w:color="FFFFFF" w:fill="auto"/>
          </w:tcPr>
          <w:p w:rsidR="001B41C4" w:rsidRDefault="001B41C4">
            <w:pPr>
              <w:jc w:val="both"/>
            </w:pPr>
          </w:p>
        </w:tc>
        <w:tc>
          <w:tcPr>
            <w:tcW w:w="2783" w:type="dxa"/>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243D40">
            <w:pPr>
              <w:jc w:val="both"/>
            </w:pPr>
            <w:r>
              <w:rPr>
                <w:szCs w:val="16"/>
              </w:rPr>
              <w:t>г. Алдан</w:t>
            </w:r>
          </w:p>
        </w:tc>
        <w:tc>
          <w:tcPr>
            <w:tcW w:w="1089" w:type="dxa"/>
            <w:shd w:val="clear" w:color="FFFFFF" w:fill="auto"/>
          </w:tcPr>
          <w:p w:rsidR="001B41C4" w:rsidRDefault="001B41C4">
            <w:pPr>
              <w:jc w:val="both"/>
            </w:pPr>
          </w:p>
        </w:tc>
        <w:tc>
          <w:tcPr>
            <w:tcW w:w="3833" w:type="dxa"/>
            <w:shd w:val="clear" w:color="FFFFFF" w:fill="auto"/>
          </w:tcPr>
          <w:p w:rsidR="001B41C4" w:rsidRDefault="00DE0626">
            <w:pPr>
              <w:jc w:val="right"/>
            </w:pPr>
            <w:r>
              <w:t>____________________________</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1B41C4">
            <w:pPr>
              <w:jc w:val="both"/>
            </w:pPr>
          </w:p>
        </w:tc>
        <w:tc>
          <w:tcPr>
            <w:tcW w:w="1654" w:type="dxa"/>
            <w:shd w:val="clear" w:color="FFFFFF" w:fill="auto"/>
          </w:tcPr>
          <w:p w:rsidR="001B41C4" w:rsidRDefault="001B41C4">
            <w:pPr>
              <w:jc w:val="both"/>
            </w:pPr>
          </w:p>
        </w:tc>
        <w:tc>
          <w:tcPr>
            <w:tcW w:w="2783" w:type="dxa"/>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Публичное акционерное общество </w:t>
            </w:r>
            <w:r>
              <w:rPr>
                <w:szCs w:val="16"/>
              </w:rPr>
              <w:t>"Якутскэнерго", именуемое далее «Гарантирующий поставщик», в лице начальника Алданского отделения Энергосбыта Васиной Марины Леонидовны, действующей на основании доверенности доверенность №И00003154 от 29.12.2016 г., с одной стороны, и Акционерное общество</w:t>
            </w:r>
            <w:r>
              <w:rPr>
                <w:szCs w:val="16"/>
              </w:rPr>
              <w:t xml:space="preserve"> "Дальневосточная распределительная сетевая компания" (АО "ДРСК"), именуемый(ое) в дальнейшем «Потребитель», в лице директора филиала Шкурко Игоря Васильевича, действующего на основании ___________________, с другой стороны, в дальнейшем вместе именуемые «</w:t>
            </w:r>
            <w:r>
              <w:rPr>
                <w:szCs w:val="16"/>
              </w:rPr>
              <w:t>Стороны», заключили настоящий договор о нижеследующем:</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Понятия, используемые в настоящем договоре, означают следующее:</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Документы о технологическом присоединении - документы, составляемые в процессе технологического присоединения энергопринимающих</w:t>
            </w:r>
            <w:r>
              <w:rPr>
                <w:szCs w:val="16"/>
              </w:rPr>
              <w:t xml:space="preserve"> устройств (объектов электроэнергетики) к объектам электросетевого хозяйства,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w:t>
            </w:r>
            <w:r>
              <w:rPr>
                <w:szCs w:val="16"/>
              </w:rPr>
              <w:t xml:space="preserve"> ответственности сторон.</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Максимальная мощность -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w:t>
            </w:r>
            <w:r>
              <w:rPr>
                <w:szCs w:val="16"/>
              </w:rPr>
              <w:t>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Гарантирующий поставщик принимает на себя обязательства обеспечить передачу электрическо</w:t>
            </w:r>
            <w:r>
              <w:rPr>
                <w:szCs w:val="16"/>
              </w:rPr>
              <w:t>й энергии.</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Заявленная мощность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указанная в Приложении №1А к настоящем</w:t>
            </w:r>
            <w:r>
              <w:rPr>
                <w:szCs w:val="16"/>
              </w:rPr>
              <w:t>у договору.</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Резервирующий источник питания - автономный (независимый) источник питания, предназначенный для обеспечения минимально необходимого уровня потребления электрической энергии в соответствии с уровнем технологической или аварийной брони при в</w:t>
            </w:r>
            <w:r>
              <w:rPr>
                <w:szCs w:val="16"/>
              </w:rPr>
              <w:t>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Измерительный комплекс - совокупность приборов учета и измерительных </w:t>
            </w:r>
            <w:r>
              <w:rPr>
                <w:szCs w:val="16"/>
              </w:rPr>
              <w:t>трансформаторов тока и (или) напряжения, соединенных между собой по установленной схеме, через которые такие приборы учета установлены (подключены) (далее - измерительные трансформаторы), предназначенная для измерения объемов электрической энергии (мощност</w:t>
            </w:r>
            <w:r>
              <w:rPr>
                <w:szCs w:val="16"/>
              </w:rPr>
              <w:t>и) в одной точке поставки.</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Система учета электроэнергии -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w:t>
            </w:r>
            <w:r>
              <w:rPr>
                <w:szCs w:val="16"/>
              </w:rPr>
              <w:t>и передачи показаний приборов учета по одной и более точек поставки.</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Сетевая организация - организация, владеющая на праве собственности или на ином установленном федеральными законами основании объектами электросетевого хозяйства, с использованием ко</w:t>
            </w:r>
            <w:r>
              <w:rPr>
                <w:szCs w:val="16"/>
              </w:rPr>
              <w:t>торых такая организация оказывают услуги по передаче электрической энергии и осуществляет в установленном порядке технологическое присоединение энергопринимающих устройств (энергетических установок) юридических и физических лиц к электрическим сетям, а так</w:t>
            </w:r>
            <w:r>
              <w:rPr>
                <w:szCs w:val="16"/>
              </w:rPr>
              <w:t>же осуществляющая право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 и входящих в единую национальную (общероссий</w:t>
            </w:r>
            <w:r>
              <w:rPr>
                <w:szCs w:val="16"/>
              </w:rPr>
              <w:t>скую) электрическую сеть.</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ПРЕДМЕТ ДОГОВОРА.</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1.1. Гарантирующий поставщик обязуется осуществлять  продажу электрической энергии,  оказывать услуги по передаче электроэнергии через Сетевые организации, а также иные услуги, неразрывно связанные с </w:t>
            </w:r>
            <w:r>
              <w:rPr>
                <w:szCs w:val="16"/>
              </w:rPr>
              <w:t>процессом снабжения электрической энергией Потребителя, а Потребитель обязуется оплачивать приобретаемую электрическую энергию и оказанные услуги.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1.2. Стоимость приобретаемой электроэнергии определяется в соответствии с Основными положениями функциониров</w:t>
            </w:r>
            <w:r>
              <w:rPr>
                <w:szCs w:val="16"/>
              </w:rPr>
              <w:t>ания розничных рынков электрической энергии, утвержденным постановлением Правительства РФ № 442 от 04.05.2012 года (далее Основные положения), постановлением Правительства РФ от 29 декабря 2011 г. N 1178 "О ценообразовании в области регулируемых цен (тариф</w:t>
            </w:r>
            <w:r>
              <w:rPr>
                <w:szCs w:val="16"/>
              </w:rPr>
              <w:t>ов) в электроэнергетике", также принимаемыми в соответствии с ними нормативными правовыми актами РФ и актами органа исполнительной власти субъекта Российской Федерации в области государственного регулирования тарифов.</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1.3. В случае принятия нормативно-пра</w:t>
            </w:r>
            <w:r>
              <w:rPr>
                <w:szCs w:val="16"/>
              </w:rPr>
              <w:t>вовых актов, регулирующих вопросы в сфере  электроэнергетики, в том числе, устанавливающих иной, по сравнению с настоящим договором, порядок организации отношений сторон и/или субъектов электроэнергетики, в том числе, по применению тарифов и определению ст</w:t>
            </w:r>
            <w:r>
              <w:rPr>
                <w:szCs w:val="16"/>
              </w:rPr>
              <w:t>оимости электрической энергии (мощности), стороны применяют указанные нормативно-правовые акты в целях исполнения договора, с даты их вступления в законную силу без внесения соответствующих изменений в настоящий договор.</w:t>
            </w:r>
          </w:p>
        </w:tc>
      </w:tr>
      <w:tr w:rsidR="001B41C4">
        <w:tblPrEx>
          <w:tblCellMar>
            <w:top w:w="0" w:type="dxa"/>
            <w:left w:w="0" w:type="dxa"/>
            <w:bottom w:w="0" w:type="dxa"/>
            <w:right w:w="0" w:type="dxa"/>
          </w:tblCellMar>
        </w:tblPrEx>
        <w:trPr>
          <w:trHeight w:val="60"/>
        </w:trPr>
        <w:tc>
          <w:tcPr>
            <w:tcW w:w="9858" w:type="dxa"/>
            <w:gridSpan w:val="5"/>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1.4. При исполнении настоящего дог</w:t>
            </w:r>
            <w:r>
              <w:rPr>
                <w:szCs w:val="16"/>
              </w:rPr>
              <w:t>овора, а также по всем вопросам отпуска, передачи и потребления электрической энергии, не отраженным в настоящем договоре, стороны руководствуются Гражданским кодексом Российской Федерации, иными нормативно-правовыми актами, обязательными правилами, принят</w:t>
            </w:r>
            <w:r>
              <w:rPr>
                <w:szCs w:val="16"/>
              </w:rPr>
              <w:t>ыми в соответствии с ними, в том числе, Правилами устройства электроустановок, Правилами технической эксплуатации электроустановок потребителей, актами уполномоченного органа по регулированию тарифов, Основными положениями функционирования розничных рынков</w:t>
            </w:r>
            <w:r>
              <w:rPr>
                <w:szCs w:val="16"/>
              </w:rPr>
              <w:t xml:space="preserve"> электрической энергии, утвержденным постановлением Правительства РФ № 442 от 04.05.2012 года (далее Основные положения).</w:t>
            </w:r>
          </w:p>
        </w:tc>
      </w:tr>
      <w:tr w:rsidR="001B41C4">
        <w:tblPrEx>
          <w:tblCellMar>
            <w:top w:w="0" w:type="dxa"/>
            <w:left w:w="0" w:type="dxa"/>
            <w:bottom w:w="0" w:type="dxa"/>
            <w:right w:w="0" w:type="dxa"/>
          </w:tblCellMar>
        </w:tblPrEx>
        <w:trPr>
          <w:trHeight w:val="60"/>
        </w:trPr>
        <w:tc>
          <w:tcPr>
            <w:tcW w:w="9858" w:type="dxa"/>
            <w:gridSpan w:val="5"/>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 xml:space="preserve">1.5. Все перечисленные в тексте договора приложения, являются его неотъемлемыми частями (Приложения 1.1., 1.2., 1.3. применяются в </w:t>
            </w:r>
            <w:r>
              <w:rPr>
                <w:szCs w:val="16"/>
              </w:rPr>
              <w:t>случае выбора потребителями 3-6 ценовой категории):</w:t>
            </w:r>
          </w:p>
        </w:tc>
      </w:tr>
      <w:tr w:rsidR="001B41C4">
        <w:tblPrEx>
          <w:tblCellMar>
            <w:top w:w="0" w:type="dxa"/>
            <w:left w:w="0" w:type="dxa"/>
            <w:bottom w:w="0" w:type="dxa"/>
            <w:right w:w="0" w:type="dxa"/>
          </w:tblCellMar>
        </w:tblPrEx>
        <w:trPr>
          <w:trHeight w:val="60"/>
        </w:trPr>
        <w:tc>
          <w:tcPr>
            <w:tcW w:w="2153" w:type="dxa"/>
            <w:gridSpan w:val="2"/>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Приложение № 1</w:t>
            </w:r>
          </w:p>
        </w:tc>
        <w:tc>
          <w:tcPr>
            <w:tcW w:w="7705" w:type="dxa"/>
            <w:gridSpan w:val="3"/>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Договорные объемы потребления электрической энергии;</w:t>
            </w:r>
          </w:p>
        </w:tc>
      </w:tr>
      <w:tr w:rsidR="001B41C4">
        <w:tblPrEx>
          <w:tblCellMar>
            <w:top w:w="0" w:type="dxa"/>
            <w:left w:w="0" w:type="dxa"/>
            <w:bottom w:w="0" w:type="dxa"/>
            <w:right w:w="0" w:type="dxa"/>
          </w:tblCellMar>
        </w:tblPrEx>
        <w:trPr>
          <w:trHeight w:val="60"/>
        </w:trPr>
        <w:tc>
          <w:tcPr>
            <w:tcW w:w="2153" w:type="dxa"/>
            <w:gridSpan w:val="2"/>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Приложение № 1.1.</w:t>
            </w:r>
          </w:p>
        </w:tc>
        <w:tc>
          <w:tcPr>
            <w:tcW w:w="7705" w:type="dxa"/>
            <w:gridSpan w:val="3"/>
            <w:tcBorders>
              <w:top w:val="none" w:sz="5" w:space="0" w:color="auto"/>
              <w:left w:val="none" w:sz="5" w:space="0" w:color="auto"/>
              <w:bottom w:val="none" w:sz="5" w:space="0" w:color="auto"/>
              <w:right w:val="none" w:sz="5" w:space="0" w:color="auto"/>
            </w:tcBorders>
            <w:shd w:val="clear" w:color="FFFFFF" w:fill="auto"/>
          </w:tcPr>
          <w:p w:rsidR="001B41C4" w:rsidRDefault="00243D40">
            <w:r>
              <w:rPr>
                <w:szCs w:val="16"/>
              </w:rPr>
              <w:t>Плановый почасовой объем потребления;</w:t>
            </w:r>
          </w:p>
        </w:tc>
      </w:tr>
      <w:tr w:rsidR="001B41C4">
        <w:tblPrEx>
          <w:tblCellMar>
            <w:top w:w="0" w:type="dxa"/>
            <w:left w:w="0" w:type="dxa"/>
            <w:bottom w:w="0" w:type="dxa"/>
            <w:right w:w="0" w:type="dxa"/>
          </w:tblCellMar>
        </w:tblPrEx>
        <w:trPr>
          <w:trHeight w:val="60"/>
        </w:trPr>
        <w:tc>
          <w:tcPr>
            <w:tcW w:w="2153" w:type="dxa"/>
            <w:gridSpan w:val="2"/>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lastRenderedPageBreak/>
              <w:t>Приложение № 1.2.</w:t>
            </w:r>
          </w:p>
        </w:tc>
        <w:tc>
          <w:tcPr>
            <w:tcW w:w="7705" w:type="dxa"/>
            <w:gridSpan w:val="3"/>
            <w:tcBorders>
              <w:top w:val="none" w:sz="5" w:space="0" w:color="auto"/>
              <w:left w:val="none" w:sz="5" w:space="0" w:color="auto"/>
              <w:bottom w:val="none" w:sz="5" w:space="0" w:color="auto"/>
              <w:right w:val="none" w:sz="5" w:space="0" w:color="auto"/>
            </w:tcBorders>
            <w:shd w:val="clear" w:color="FFFFFF" w:fill="auto"/>
          </w:tcPr>
          <w:p w:rsidR="001B41C4" w:rsidRDefault="00243D40">
            <w:r>
              <w:rPr>
                <w:szCs w:val="16"/>
              </w:rPr>
              <w:t>Корректировка планового почасового объема потребления элект</w:t>
            </w:r>
            <w:r>
              <w:rPr>
                <w:szCs w:val="16"/>
              </w:rPr>
              <w:t>роэнергии на сутки;</w:t>
            </w:r>
          </w:p>
        </w:tc>
      </w:tr>
      <w:tr w:rsidR="001B41C4">
        <w:tblPrEx>
          <w:tblCellMar>
            <w:top w:w="0" w:type="dxa"/>
            <w:left w:w="0" w:type="dxa"/>
            <w:bottom w:w="0" w:type="dxa"/>
            <w:right w:w="0" w:type="dxa"/>
          </w:tblCellMar>
        </w:tblPrEx>
        <w:trPr>
          <w:trHeight w:val="60"/>
        </w:trPr>
        <w:tc>
          <w:tcPr>
            <w:tcW w:w="2153" w:type="dxa"/>
            <w:gridSpan w:val="2"/>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Приложение № 1.3.</w:t>
            </w:r>
          </w:p>
        </w:tc>
        <w:tc>
          <w:tcPr>
            <w:tcW w:w="7705" w:type="dxa"/>
            <w:gridSpan w:val="3"/>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Сведения о фактическом почасовом потреблении электроэнергии по расчетным интервальным приборам учета;</w:t>
            </w:r>
          </w:p>
        </w:tc>
      </w:tr>
      <w:tr w:rsidR="001B41C4">
        <w:tblPrEx>
          <w:tblCellMar>
            <w:top w:w="0" w:type="dxa"/>
            <w:left w:w="0" w:type="dxa"/>
            <w:bottom w:w="0" w:type="dxa"/>
            <w:right w:w="0" w:type="dxa"/>
          </w:tblCellMar>
        </w:tblPrEx>
        <w:trPr>
          <w:trHeight w:val="60"/>
        </w:trPr>
        <w:tc>
          <w:tcPr>
            <w:tcW w:w="2153" w:type="dxa"/>
            <w:gridSpan w:val="2"/>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Приложение № 1А</w:t>
            </w:r>
          </w:p>
        </w:tc>
        <w:tc>
          <w:tcPr>
            <w:tcW w:w="7705" w:type="dxa"/>
            <w:gridSpan w:val="3"/>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Заявленная максимальная мощность;</w:t>
            </w:r>
          </w:p>
        </w:tc>
      </w:tr>
      <w:tr w:rsidR="001B41C4">
        <w:tblPrEx>
          <w:tblCellMar>
            <w:top w:w="0" w:type="dxa"/>
            <w:left w:w="0" w:type="dxa"/>
            <w:bottom w:w="0" w:type="dxa"/>
            <w:right w:w="0" w:type="dxa"/>
          </w:tblCellMar>
        </w:tblPrEx>
        <w:trPr>
          <w:trHeight w:val="60"/>
        </w:trPr>
        <w:tc>
          <w:tcPr>
            <w:tcW w:w="2153" w:type="dxa"/>
            <w:gridSpan w:val="2"/>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Приложение № 2</w:t>
            </w:r>
          </w:p>
        </w:tc>
        <w:tc>
          <w:tcPr>
            <w:tcW w:w="7705" w:type="dxa"/>
            <w:gridSpan w:val="3"/>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Перечень точек поставки электрической энергии;</w:t>
            </w:r>
          </w:p>
        </w:tc>
      </w:tr>
      <w:tr w:rsidR="001B41C4">
        <w:tblPrEx>
          <w:tblCellMar>
            <w:top w:w="0" w:type="dxa"/>
            <w:left w:w="0" w:type="dxa"/>
            <w:bottom w:w="0" w:type="dxa"/>
            <w:right w:w="0" w:type="dxa"/>
          </w:tblCellMar>
        </w:tblPrEx>
        <w:trPr>
          <w:trHeight w:val="60"/>
        </w:trPr>
        <w:tc>
          <w:tcPr>
            <w:tcW w:w="2153" w:type="dxa"/>
            <w:gridSpan w:val="2"/>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Приложение № 3</w:t>
            </w:r>
          </w:p>
        </w:tc>
        <w:tc>
          <w:tcPr>
            <w:tcW w:w="7705" w:type="dxa"/>
            <w:gridSpan w:val="3"/>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Акт о величине мощности энергопринимающих устройств Потребителя;</w:t>
            </w:r>
          </w:p>
        </w:tc>
      </w:tr>
      <w:tr w:rsidR="001B41C4">
        <w:tblPrEx>
          <w:tblCellMar>
            <w:top w:w="0" w:type="dxa"/>
            <w:left w:w="0" w:type="dxa"/>
            <w:bottom w:w="0" w:type="dxa"/>
            <w:right w:w="0" w:type="dxa"/>
          </w:tblCellMar>
        </w:tblPrEx>
        <w:trPr>
          <w:trHeight w:val="60"/>
        </w:trPr>
        <w:tc>
          <w:tcPr>
            <w:tcW w:w="2153" w:type="dxa"/>
            <w:gridSpan w:val="2"/>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Приложение № 4</w:t>
            </w:r>
          </w:p>
        </w:tc>
        <w:tc>
          <w:tcPr>
            <w:tcW w:w="7705" w:type="dxa"/>
            <w:gridSpan w:val="3"/>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Ведомость установленных приборов учета;</w:t>
            </w:r>
          </w:p>
        </w:tc>
      </w:tr>
      <w:tr w:rsidR="001B41C4">
        <w:tblPrEx>
          <w:tblCellMar>
            <w:top w:w="0" w:type="dxa"/>
            <w:left w:w="0" w:type="dxa"/>
            <w:bottom w:w="0" w:type="dxa"/>
            <w:right w:w="0" w:type="dxa"/>
          </w:tblCellMar>
        </w:tblPrEx>
        <w:trPr>
          <w:trHeight w:val="60"/>
        </w:trPr>
        <w:tc>
          <w:tcPr>
            <w:tcW w:w="2153" w:type="dxa"/>
            <w:gridSpan w:val="2"/>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Приложение № 5</w:t>
            </w:r>
          </w:p>
        </w:tc>
        <w:tc>
          <w:tcPr>
            <w:tcW w:w="7705" w:type="dxa"/>
            <w:gridSpan w:val="3"/>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Акт согласования технологической и аварийной брони электроснабжения Потребителя электрической энергии (м</w:t>
            </w:r>
            <w:r>
              <w:rPr>
                <w:szCs w:val="16"/>
              </w:rPr>
              <w:t>ощности) (оформляется Потребителем самостоятельно);</w:t>
            </w:r>
          </w:p>
        </w:tc>
      </w:tr>
      <w:tr w:rsidR="001B41C4">
        <w:tblPrEx>
          <w:tblCellMar>
            <w:top w:w="0" w:type="dxa"/>
            <w:left w:w="0" w:type="dxa"/>
            <w:bottom w:w="0" w:type="dxa"/>
            <w:right w:w="0" w:type="dxa"/>
          </w:tblCellMar>
        </w:tblPrEx>
        <w:trPr>
          <w:trHeight w:val="60"/>
        </w:trPr>
        <w:tc>
          <w:tcPr>
            <w:tcW w:w="2153" w:type="dxa"/>
            <w:gridSpan w:val="2"/>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Приложение № 6</w:t>
            </w:r>
          </w:p>
        </w:tc>
        <w:tc>
          <w:tcPr>
            <w:tcW w:w="7705" w:type="dxa"/>
            <w:gridSpan w:val="3"/>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Перечень электроприемников по надежности электроснабжения;</w:t>
            </w:r>
          </w:p>
        </w:tc>
      </w:tr>
      <w:tr w:rsidR="001B41C4">
        <w:tblPrEx>
          <w:tblCellMar>
            <w:top w:w="0" w:type="dxa"/>
            <w:left w:w="0" w:type="dxa"/>
            <w:bottom w:w="0" w:type="dxa"/>
            <w:right w:w="0" w:type="dxa"/>
          </w:tblCellMar>
        </w:tblPrEx>
        <w:trPr>
          <w:trHeight w:val="60"/>
        </w:trPr>
        <w:tc>
          <w:tcPr>
            <w:tcW w:w="2153" w:type="dxa"/>
            <w:gridSpan w:val="2"/>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Приложение № 8</w:t>
            </w:r>
          </w:p>
        </w:tc>
        <w:tc>
          <w:tcPr>
            <w:tcW w:w="7705" w:type="dxa"/>
            <w:gridSpan w:val="3"/>
            <w:tcBorders>
              <w:top w:val="none" w:sz="5" w:space="0" w:color="auto"/>
              <w:left w:val="none" w:sz="5" w:space="0" w:color="auto"/>
              <w:bottom w:val="none" w:sz="5" w:space="0" w:color="auto"/>
              <w:right w:val="none" w:sz="5" w:space="0" w:color="auto"/>
            </w:tcBorders>
            <w:shd w:val="clear" w:color="FFFFFF" w:fill="auto"/>
          </w:tcPr>
          <w:p w:rsidR="001B41C4" w:rsidRDefault="00243D40">
            <w:pPr>
              <w:jc w:val="both"/>
            </w:pPr>
            <w:r>
              <w:rPr>
                <w:szCs w:val="16"/>
              </w:rPr>
              <w:t>Способы определения объема потребления электрической энергии;</w:t>
            </w:r>
          </w:p>
        </w:tc>
      </w:tr>
      <w:tr w:rsidR="001B41C4">
        <w:tblPrEx>
          <w:tblCellMar>
            <w:top w:w="0" w:type="dxa"/>
            <w:left w:w="0" w:type="dxa"/>
            <w:bottom w:w="0" w:type="dxa"/>
            <w:right w:w="0" w:type="dxa"/>
          </w:tblCellMar>
        </w:tblPrEx>
        <w:trPr>
          <w:trHeight w:val="60"/>
        </w:trPr>
        <w:tc>
          <w:tcPr>
            <w:tcW w:w="2153" w:type="dxa"/>
            <w:gridSpan w:val="2"/>
            <w:shd w:val="clear" w:color="FFFFFF" w:fill="auto"/>
          </w:tcPr>
          <w:p w:rsidR="001B41C4" w:rsidRDefault="00243D40">
            <w:pPr>
              <w:jc w:val="both"/>
            </w:pPr>
            <w:r>
              <w:rPr>
                <w:szCs w:val="16"/>
              </w:rPr>
              <w:t>Приложение № 9</w:t>
            </w:r>
          </w:p>
        </w:tc>
        <w:tc>
          <w:tcPr>
            <w:tcW w:w="7705" w:type="dxa"/>
            <w:gridSpan w:val="3"/>
            <w:shd w:val="clear" w:color="FFFFFF" w:fill="auto"/>
          </w:tcPr>
          <w:p w:rsidR="001B41C4" w:rsidRDefault="00243D40">
            <w:pPr>
              <w:jc w:val="both"/>
            </w:pPr>
            <w:r>
              <w:rPr>
                <w:szCs w:val="16"/>
              </w:rPr>
              <w:t xml:space="preserve">Условия доступа уполномоченных </w:t>
            </w:r>
            <w:r>
              <w:rPr>
                <w:szCs w:val="16"/>
              </w:rPr>
              <w:t>Представителей Гарантирующего поставщика к приборам учета электроэнергии, установленным в электроустановках Потребителя;</w:t>
            </w:r>
          </w:p>
        </w:tc>
      </w:tr>
      <w:tr w:rsidR="001B41C4">
        <w:tblPrEx>
          <w:tblCellMar>
            <w:top w:w="0" w:type="dxa"/>
            <w:left w:w="0" w:type="dxa"/>
            <w:bottom w:w="0" w:type="dxa"/>
            <w:right w:w="0" w:type="dxa"/>
          </w:tblCellMar>
        </w:tblPrEx>
        <w:trPr>
          <w:trHeight w:val="60"/>
        </w:trPr>
        <w:tc>
          <w:tcPr>
            <w:tcW w:w="2153" w:type="dxa"/>
            <w:gridSpan w:val="2"/>
            <w:shd w:val="clear" w:color="FFFFFF" w:fill="auto"/>
          </w:tcPr>
          <w:p w:rsidR="001B41C4" w:rsidRDefault="00243D40">
            <w:pPr>
              <w:jc w:val="both"/>
            </w:pPr>
            <w:r>
              <w:rPr>
                <w:szCs w:val="16"/>
              </w:rPr>
              <w:t>Приложение № 10</w:t>
            </w:r>
          </w:p>
        </w:tc>
        <w:tc>
          <w:tcPr>
            <w:tcW w:w="7705" w:type="dxa"/>
            <w:gridSpan w:val="3"/>
            <w:shd w:val="clear" w:color="FFFFFF" w:fill="auto"/>
          </w:tcPr>
          <w:p w:rsidR="001B41C4" w:rsidRDefault="00243D40">
            <w:pPr>
              <w:jc w:val="both"/>
            </w:pPr>
            <w:r>
              <w:rPr>
                <w:szCs w:val="16"/>
              </w:rPr>
              <w:t>Сведения о расходе потребления электрической энергии за расчетный период (форма);</w:t>
            </w:r>
          </w:p>
        </w:tc>
      </w:tr>
      <w:tr w:rsidR="001B41C4">
        <w:tblPrEx>
          <w:tblCellMar>
            <w:top w:w="0" w:type="dxa"/>
            <w:left w:w="0" w:type="dxa"/>
            <w:bottom w:w="0" w:type="dxa"/>
            <w:right w:w="0" w:type="dxa"/>
          </w:tblCellMar>
        </w:tblPrEx>
        <w:trPr>
          <w:trHeight w:val="60"/>
        </w:trPr>
        <w:tc>
          <w:tcPr>
            <w:tcW w:w="2153" w:type="dxa"/>
            <w:gridSpan w:val="2"/>
            <w:shd w:val="clear" w:color="FFFFFF" w:fill="auto"/>
          </w:tcPr>
          <w:p w:rsidR="001B41C4" w:rsidRDefault="00243D40">
            <w:pPr>
              <w:jc w:val="both"/>
            </w:pPr>
            <w:r>
              <w:rPr>
                <w:szCs w:val="16"/>
              </w:rPr>
              <w:t>Приложение № 11</w:t>
            </w:r>
          </w:p>
        </w:tc>
        <w:tc>
          <w:tcPr>
            <w:tcW w:w="7705" w:type="dxa"/>
            <w:gridSpan w:val="3"/>
            <w:shd w:val="clear" w:color="FFFFFF" w:fill="auto"/>
          </w:tcPr>
          <w:p w:rsidR="001B41C4" w:rsidRDefault="00243D40">
            <w:pPr>
              <w:jc w:val="both"/>
            </w:pPr>
            <w:r>
              <w:rPr>
                <w:szCs w:val="16"/>
              </w:rPr>
              <w:t xml:space="preserve">Порядок </w:t>
            </w:r>
            <w:r>
              <w:rPr>
                <w:szCs w:val="16"/>
              </w:rPr>
              <w:t>использования резервирующего источника питания, установленного на объекте Потребителя;</w:t>
            </w:r>
          </w:p>
        </w:tc>
      </w:tr>
      <w:tr w:rsidR="001B41C4">
        <w:tblPrEx>
          <w:tblCellMar>
            <w:top w:w="0" w:type="dxa"/>
            <w:left w:w="0" w:type="dxa"/>
            <w:bottom w:w="0" w:type="dxa"/>
            <w:right w:w="0" w:type="dxa"/>
          </w:tblCellMar>
        </w:tblPrEx>
        <w:trPr>
          <w:trHeight w:val="60"/>
        </w:trPr>
        <w:tc>
          <w:tcPr>
            <w:tcW w:w="2153" w:type="dxa"/>
            <w:gridSpan w:val="2"/>
            <w:shd w:val="clear" w:color="FFFFFF" w:fill="auto"/>
          </w:tcPr>
          <w:p w:rsidR="001B41C4" w:rsidRDefault="00243D40">
            <w:pPr>
              <w:jc w:val="both"/>
            </w:pPr>
            <w:r>
              <w:rPr>
                <w:szCs w:val="16"/>
              </w:rPr>
              <w:t>Приложение № 12</w:t>
            </w:r>
          </w:p>
        </w:tc>
        <w:tc>
          <w:tcPr>
            <w:tcW w:w="7705" w:type="dxa"/>
            <w:gridSpan w:val="3"/>
            <w:shd w:val="clear" w:color="FFFFFF" w:fill="auto"/>
          </w:tcPr>
          <w:p w:rsidR="001B41C4" w:rsidRDefault="00243D40">
            <w:pPr>
              <w:jc w:val="both"/>
            </w:pPr>
            <w:r>
              <w:rPr>
                <w:szCs w:val="16"/>
              </w:rPr>
              <w:t>Сведения о резервирующих источниках питания, установленных на объектах Потребителя.</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ОБЯЗАТЕЛ</w:t>
            </w:r>
            <w:r w:rsidR="00DE0626" w:rsidRPr="00DE0626">
              <w:rPr>
                <w:b/>
                <w:szCs w:val="16"/>
              </w:rPr>
              <w:t>ЬСТВА ГАРАНТИРУЮЩЕГО ПОСТАВЩИКА</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2.1. Продавать </w:t>
            </w:r>
            <w:r>
              <w:rPr>
                <w:szCs w:val="16"/>
              </w:rPr>
              <w:t>электрическую энергию, оказывать услуги по передаче электроэнергии через Сетевые организации, а также иные услуги, неразрывно связанные с процессом снабжения электрической энергией, в соответствии с установленными настоящим договором условиями.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2.2. Подде</w:t>
            </w:r>
            <w:r>
              <w:rPr>
                <w:szCs w:val="16"/>
              </w:rPr>
              <w:t xml:space="preserve">рживать качество электрической энергии, поставляемой по договору, в соответствии с требованиями технических регламентов и иными обязательными требованиями до границы балансовой принадлежности с Сетевой организацией (ГОСТ 32144-2013 "Электрическая энергия. </w:t>
            </w:r>
            <w:r>
              <w:rPr>
                <w:szCs w:val="16"/>
              </w:rPr>
              <w:t>Совместимость технических средств электромагнитная. Нормы качества электрической энергии в системах электроснабжения общего назначения").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2.3. Иные, предусмотренные действующим законодательством и настоящим договором.</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ПРАВА ГАРАНТИРУЮЩЕГО ПОСТАВЩИ</w:t>
            </w:r>
            <w:r w:rsidRPr="00DE0626">
              <w:rPr>
                <w:b/>
                <w:szCs w:val="16"/>
              </w:rPr>
              <w:t>КА.</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3.1. Проводить проверки соблюдения Потребителем условий настоящего договора, в том числе, определяющего порядок учета поставляемой электрической энергии, а также наличия оснований для потребления электрической энергии.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3.2. Приостановить исполнение </w:t>
            </w:r>
            <w:r>
              <w:rPr>
                <w:szCs w:val="16"/>
              </w:rPr>
              <w:t>обязательств по договору путем введения частичного и (или) полного ограничения режима потребления электроэнергии в порядке и в случаях, определенных в соответствии с законодательством РФ и разделом 12 настоящего договора.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3.3. Иные, предусмотренные действ</w:t>
            </w:r>
            <w:r>
              <w:rPr>
                <w:szCs w:val="16"/>
              </w:rPr>
              <w:t>ующим законодательством и настоящим договором.</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ОБЯЗАТЕЛЬСТВА ПОТРЕБИТЕЛЯ.</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4.1. Оплачивать приобретаемую электрическую энергию (мощность) и оказанные услуги в сроки и на условиях, предусмотренных настоящим договором.</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4.2. Обеспечить периодический </w:t>
            </w:r>
            <w:r>
              <w:rPr>
                <w:szCs w:val="16"/>
              </w:rPr>
              <w:t>доступ, в соответствии с режимом работы предприятия, уполномоченных представителей Гарантирующего поставщика и Сетевой организации к расчетным приборам учета электроэнергии (мощности), установленным в электроустановках Потребителя, для цели проверки услови</w:t>
            </w:r>
            <w:r>
              <w:rPr>
                <w:szCs w:val="16"/>
              </w:rPr>
              <w:t>й их эксплуатации и сохранности, снятия контрольных показаний, для осуществления контроля по приборам учета за соблюдением установленных режимов передачи электроэнергии и заявленной мощности, проведения замеров по определению качества электроэнергии и знач</w:t>
            </w:r>
            <w:r>
              <w:rPr>
                <w:szCs w:val="16"/>
              </w:rPr>
              <w:t>ений соотношения потребляемой активной и реактивной мощности, проведения контрольных проверок расчетных счетчиков на месте установки, установки пломб на приборах и средствах учета, а также к электроустановкам Потребителя, в целях полного или частичного огр</w:t>
            </w:r>
            <w:r>
              <w:rPr>
                <w:szCs w:val="16"/>
              </w:rPr>
              <w:t>аничения режима потребления электроэнергии.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4.3. Потребитель  обязан:</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б) обеспечивать схему </w:t>
            </w:r>
            <w:r>
              <w:rPr>
                <w:szCs w:val="16"/>
              </w:rPr>
              <w:t>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в) выполнять требования Гарантирующего поставщика об ограничении режи</w:t>
            </w:r>
            <w:r>
              <w:rPr>
                <w:szCs w:val="16"/>
              </w:rPr>
              <w:t>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w:t>
            </w:r>
            <w:r>
              <w:rPr>
                <w:szCs w:val="16"/>
              </w:rPr>
              <w:t>аконодательством Российской Федерации в качестве основания для введения полного или частичного ограничения режима потребления;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г) представлять Гарантирующему поставщику технологическую информацию (главные электрические схемы, характеристики оборудования, </w:t>
            </w:r>
            <w:r>
              <w:rPr>
                <w:szCs w:val="16"/>
              </w:rPr>
              <w:t>схемы устройств релейной защиты и противоаварийной автоматики, оперативные данные о технологических режимах работы оборудования);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д) информировать Гарантирующего поставщика в установленные договором сроки об аварийных ситуациях на энергетических объектах,</w:t>
            </w:r>
            <w:r>
              <w:rPr>
                <w:szCs w:val="16"/>
              </w:rPr>
              <w:t xml:space="preserve"> плановом, текущем и капитальном ремонте на них;</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е) обеспечивать соблюдение установленного в 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w:t>
            </w:r>
            <w:r>
              <w:rPr>
                <w:szCs w:val="16"/>
              </w:rPr>
              <w:t>зованием приборов учета, в том числе в части:</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допуска установленного прибора учета в эксплуатацию;</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определения прибора учета, по которому осуществляются расчеты за оказанные услуги по передаче электрической энергии;</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 xml:space="preserve">эксплуатации прибора учета, в </w:t>
            </w:r>
            <w:r>
              <w:rPr>
                <w:szCs w:val="16"/>
              </w:rPr>
              <w:t>том числе обеспечение поверки прибора учета по истечении установленного для него межповерочного интервала;</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восстановления учета в случае выхода из строя или утраты прибора учета, срок которого не может быть более 2 месяцев;</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передачи данных приборов у</w:t>
            </w:r>
            <w:r>
              <w:rPr>
                <w:szCs w:val="16"/>
              </w:rPr>
              <w:t>чета;</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сообщения о выходе прибора учета из эксплуатации;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ж)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w:t>
            </w:r>
            <w:r>
              <w:rPr>
                <w:szCs w:val="16"/>
              </w:rPr>
              <w:t xml:space="preserve">(или) аварийной брони и сроков завершения </w:t>
            </w:r>
            <w:r>
              <w:rPr>
                <w:szCs w:val="16"/>
              </w:rPr>
              <w:lastRenderedPageBreak/>
              <w:t>технологического процесса при введении ограничения режима потребления электрической энергии;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lastRenderedPageBreak/>
              <w:t>з) обеспечить предоставление проекта акта согласования технологической и (или) аварийной брони в адрес Гарантирующего по</w:t>
            </w:r>
            <w:r>
              <w:rPr>
                <w:szCs w:val="16"/>
              </w:rPr>
              <w:t>ставщика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w:t>
            </w:r>
            <w:r>
              <w:rPr>
                <w:szCs w:val="16"/>
              </w:rPr>
              <w:t>тегории которых определены в приложении к Правилам полного и (или) частичного ограничения режима потребления электрической энергии, отсутствовал акт согласования технологической и (или) аварийной брони, или в течение 30 дней с даты возникновения установлен</w:t>
            </w:r>
            <w:r>
              <w:rPr>
                <w:szCs w:val="16"/>
              </w:rPr>
              <w:t>ных Правилами недискриминационного доступа к услугам по передаче электрической энергии и оказания этих услуг оснований для изменения такого акта.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4.4. Надлежащим образом обслуживать принадлежащие ему и находящиеся согласно акту разграничения в его зоне эк</w:t>
            </w:r>
            <w:r>
              <w:rPr>
                <w:szCs w:val="16"/>
              </w:rPr>
              <w:t>сплуатационной ответственности энергопринимающие устройства (и при наличии, объекты электросетевого хозяйства), и нести ответственность за их состояние.</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4.5. Потребитель обязан обеспечить сохранность и надежное функционирование установленных на </w:t>
            </w:r>
            <w:r>
              <w:rPr>
                <w:szCs w:val="16"/>
              </w:rPr>
              <w:t>принадлежащих ему энергопринимающих устройствах устройств релейной защиты, противоаварийной и режимной автоматики и (или) ее компонентов, принадлежащих Сетевой организации, а также возможность своевременного выполнения управляющих воздействий в соответстви</w:t>
            </w:r>
            <w:r>
              <w:rPr>
                <w:szCs w:val="16"/>
              </w:rPr>
              <w:t>и с требованиями Сетевой организации.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4.6. Поддерживать качество электрической энергии, поставляемой по договору, в соответствии с требованиями технических регламентов и иными обязательными требованиями, в границах балансовой принадлежности электрических </w:t>
            </w:r>
            <w:r>
              <w:rPr>
                <w:szCs w:val="16"/>
              </w:rPr>
              <w:t>сетей Потребителя.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4.7. В случае нарушения качества электроэнергии по вине Потребителя, Потребитель обязан установить и обслуживать устройства, обеспечивающие регулирование качества электроэнергии.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4.8. Иметь резервирующий источник питания (РИП) для элек</w:t>
            </w:r>
            <w:r>
              <w:rPr>
                <w:szCs w:val="16"/>
              </w:rPr>
              <w:t>троприемников 1-й и 2-й категорий по надежности электроснабжения и использовать его в соответствии с Приложением № 11 «Порядок использования резервирующего источника питания, установленного на объекте Потребителя».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4.9. Не превышать месячную величину заяв</w:t>
            </w:r>
            <w:r>
              <w:rPr>
                <w:szCs w:val="16"/>
              </w:rPr>
              <w:t>ленной максимальной мощности (Приложение № 1А) установленную Сетевой организацией в соответствующей точке присоединения к сети. Выполнять команды Сетевой организации по ограничению потребляемой мощности до величины заявленной мощности.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4.10. Выполнять ком</w:t>
            </w:r>
            <w:r>
              <w:rPr>
                <w:szCs w:val="16"/>
              </w:rPr>
              <w:t>анды Гарантирующего поставщика и Сетевой организации, направленные на введение ограничения режима потребления электрической энергии в случаях аварии, угрозы возникновения аварии в работе систем энергоснабжения при выводе электроустановок Сетевой организаци</w:t>
            </w:r>
            <w:r>
              <w:rPr>
                <w:szCs w:val="16"/>
              </w:rPr>
              <w:t>и в ремонт, в иных установленных законодательством Российской Федерации и условиями настоящего договора случаях, а также при получении от Гарантирующего поставщика или Сетевой организации соответствующей команды совершать действия по самоограничению своего</w:t>
            </w:r>
            <w:r>
              <w:rPr>
                <w:szCs w:val="16"/>
              </w:rPr>
              <w:t xml:space="preserve"> потребления.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4.11. При принятом решении о реорганизации или ликвидации, о прекращении деятельности, утрате либо изменении основания права пользования объектом энергоснабжения за 30 дней письменно сообщить  Гарантирующему поставщику о расторжении данного </w:t>
            </w:r>
            <w:r>
              <w:rPr>
                <w:szCs w:val="16"/>
              </w:rPr>
              <w:t>договора и произвести полный расчет за потребленную электроэнергию по день выезда или ликвидации предприятия. В трехдневный срок уведомлять Гарантирующего поставщика об изменении юридического адреса, адреса для переписки и/или электронного адреса, банковск</w:t>
            </w:r>
            <w:r>
              <w:rPr>
                <w:szCs w:val="16"/>
              </w:rPr>
              <w:t>их реквизитов, наименования, формы собственности и других реквизитов, влияющих на надлежащее исполнение договора, с предоставлением соответствующих документов.</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4.12. Сообщать Гарантирующему поставщику обо всех изменениях схем электроснабжения не позднее о</w:t>
            </w:r>
            <w:r>
              <w:rPr>
                <w:szCs w:val="16"/>
              </w:rPr>
              <w:t>дних суток.</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4.13. Незамедлительно уведомлять Гарантирующего поставщика, Сетевую организацию об авариях на энергетических объектах Потребителя, связанных с отключением питающих линий, повреждением основного оборудования, а также о пожарах, вызванных неиспр</w:t>
            </w:r>
            <w:r>
              <w:rPr>
                <w:szCs w:val="16"/>
              </w:rPr>
              <w:t>авностью электроустановок.</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4.14. Информировать Гарантирующего поставщика, Сетевую организацию о плановых (текущих и капитальных ремонтах) на энергетических объектах Потребителя в срок, не позднее 30 дней до их начала. Согласовывать предложенные Сетевой </w:t>
            </w:r>
            <w:r>
              <w:rPr>
                <w:szCs w:val="16"/>
              </w:rPr>
              <w:t>организацией сроки проведения ремонтных работ на принадлежащих Сетевой организации объектах электросетевого хозяйства, которые влекут необходимость введения полного и (или) частичного ограничения режима потребления Потребителя.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4.15. Урегулировать с Сетев</w:t>
            </w:r>
            <w:r>
              <w:rPr>
                <w:szCs w:val="16"/>
              </w:rPr>
              <w:t>ой организацией  вопросы оперативно-технологического взаимодействия в соответствии с «Правилами технической эксплуатации электроустановок потребителей» (утверждены Приказом Минэнерго № 6 от 13.01.2003).</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4.16. 2 раза  в год в дни зимнего (в течение декабря</w:t>
            </w:r>
            <w:r>
              <w:rPr>
                <w:szCs w:val="16"/>
              </w:rPr>
              <w:t>) и летнего максимума (в течение июня),  производит замер нагрузок на объектах энергоснабжения с последующей передачей информации Гарантирующему поставщику.</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4.17. Предоставить список лиц, ответственных за электрохозяйство, за эксплуатацию приборов учета, </w:t>
            </w:r>
            <w:r>
              <w:rPr>
                <w:szCs w:val="16"/>
              </w:rPr>
              <w:t>лиц, имеющих право ведения оперативных переговоров, подписания заявок, отчетов, актов снятия показаний расчетных приборов учета, актов о неучтенном потреблении электрической энергии и иных актов. Список должен содержать должности и фамилии уполномоченных л</w:t>
            </w:r>
            <w:r>
              <w:rPr>
                <w:szCs w:val="16"/>
              </w:rPr>
              <w:t>иц, номер их телефона, факса для оперативной связи. Потребитель обязуется незамедлительно извещать Гарантирующего поставщика об изменении данных, указанных в настоящем пункте.</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4.18. В течение 3-х дней с момента соответствующего изменения письменно сообщат</w:t>
            </w:r>
            <w:r>
              <w:rPr>
                <w:szCs w:val="16"/>
              </w:rPr>
              <w:t>ь Гарантирующему поставщику об изменениях юридического адреса, места нахождения, банковских реквизитов, наименования, ведомственной принадлежности и/или формы собственности, перечне обслуживаемых объектов и других обстоятельствах, влияющих на надлежащее ис</w:t>
            </w:r>
            <w:r>
              <w:rPr>
                <w:szCs w:val="16"/>
              </w:rPr>
              <w:t>полнение договора, с приложением соответствующих изменениям документов.</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4.19. Получать счета, счета-фактуры, акты приема-передачи электрической энергии в сроки, предусмотренные разделом 11 настоящего договора. Неполучение счета, счета-фактуры, акта приема</w:t>
            </w:r>
            <w:r>
              <w:rPr>
                <w:szCs w:val="16"/>
              </w:rPr>
              <w:t>-передачи электрической энергии в указанные сроки не продлевает срок оплаты и не освобождает Потребителя от обязанности своевременной оплаты и ответственности за несвоевременную оплату потребленной электрической энергии.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4.20. Соблюдать установленные дого</w:t>
            </w:r>
            <w:r>
              <w:rPr>
                <w:szCs w:val="16"/>
              </w:rPr>
              <w:t>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4.21. Предоставлять информацию о заявляемом режиме работы энергопринимающего оборудования (П</w:t>
            </w:r>
            <w:r>
              <w:rPr>
                <w:szCs w:val="16"/>
              </w:rPr>
              <w:t>риложение № 3). В случае изменения мощности и режима работы энергопринимающего оборудования незамедлительно уведомить Гарантирующего поставщика для составления акта.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4.22. Потребитель, выбравший пятую или шестую ценовые категории, за 15 дней до наступлени</w:t>
            </w:r>
            <w:r>
              <w:rPr>
                <w:szCs w:val="16"/>
              </w:rPr>
              <w:t>я расчетного периода направляет  Гарантирующему поставщику планируемые суточные графики потребления электроэнергии с почасовой разбивкой (Приложение № 1.1. «Плановый почасовой объем потребления»).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4.23. Потребитель, выбравший пятую или шестую ценовые кате</w:t>
            </w:r>
            <w:r>
              <w:rPr>
                <w:szCs w:val="16"/>
              </w:rPr>
              <w:t>гории, сообщает Гарантирующему поставщику детализацию планового объема потребления электрической энергии по часам суток за 2 дня до суток, на которые осуществляется планирование потребления, до 9 часов этого дня с правом скорректировать сообщенные плановые</w:t>
            </w:r>
            <w:r>
              <w:rPr>
                <w:szCs w:val="16"/>
              </w:rPr>
              <w:t xml:space="preserve"> объемы потребления электрической энергии по всем или некоторым часам суток путем их уменьшения за 1 день до суток, на которые осуществляется планирование потребления, до 9 часов этого дня (Приложение №1.2. «Корректировка планового почасового объема потреб</w:t>
            </w:r>
            <w:r>
              <w:rPr>
                <w:szCs w:val="16"/>
              </w:rPr>
              <w:t xml:space="preserve">ления электроэнергии на сутки»). Потребитель обязан оплачивать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w:t>
            </w:r>
            <w:r>
              <w:rPr>
                <w:szCs w:val="16"/>
              </w:rPr>
              <w:t xml:space="preserve">потребления электрической энергии, о которых сообщил Потребитель, и в объеме превышений плановых </w:t>
            </w:r>
            <w:r>
              <w:rPr>
                <w:szCs w:val="16"/>
              </w:rPr>
              <w:lastRenderedPageBreak/>
              <w:t xml:space="preserve">почасовых объемов потребления электрической энергии над соответствующими фактическими почасовыми объемами покупки электрической энергии в случаях и в порядке, </w:t>
            </w:r>
            <w:r>
              <w:rPr>
                <w:szCs w:val="16"/>
              </w:rPr>
              <w:t>установленных Основными положениями.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lastRenderedPageBreak/>
              <w:t xml:space="preserve">4.24. При одностороннем расторжении либо изменении настоящего договора, направить Гарантирующему поставщику письменное уведомление об этом не позднее чем за 20 рабочих дней до заявляемой даты расторжения или изменения </w:t>
            </w:r>
            <w:r>
              <w:rPr>
                <w:szCs w:val="16"/>
              </w:rPr>
              <w:t>настоящего договора способом, позволяющим подтвердить факт и дату получения указанного уведомления.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4.25. Направить в адрес Гарантирующего поставщика способом, позволяющим подтвердить факт получения им, письменную заявку о необходимости снятия показаний с</w:t>
            </w:r>
            <w:r>
              <w:rPr>
                <w:szCs w:val="16"/>
              </w:rPr>
              <w:t>уществующего прибора учета, осмотра его состояния и схемы подключения до его демонтажа.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4.26. Обеспечить оборудование точек поставки приборами учета электрической энергии, в случае если точки поставки на день заключения договора не оборудованы приборами у</w:t>
            </w:r>
            <w:r>
              <w:rPr>
                <w:szCs w:val="16"/>
              </w:rPr>
              <w:t>чета.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4.27. Иные обязательства, предусмотренные действующим законодательством и настоящим договором.</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ПРАВА ПОТРЕБИТЕЛЯ.</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5.1. Потребитель, не имеющий перед  Гарантирующий поставщиком признанной им по акту сверки расчетов или подтвержденной </w:t>
            </w:r>
            <w:r>
              <w:rPr>
                <w:szCs w:val="16"/>
              </w:rPr>
              <w:t>решением суда задолженности по оплате, вправе заключить договоре энергоснабжения (купли-продажи, поставки электрической энергии) с энергосбытовой организацией в порядке, определенном действующим законодательством.</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5.2. Потребитель вправе перейти на обслуж</w:t>
            </w:r>
            <w:r>
              <w:rPr>
                <w:szCs w:val="16"/>
              </w:rPr>
              <w:t>ивание к энергосбытовой организации (организации, получившей статус Гарантирующего поставщика) в случае лишения ПАО "Якутскэнерго" статуса  Гарантирующего поставщика при условии исполнения обязательств по оплате потребленной электрической энергии и предост</w:t>
            </w:r>
            <w:r>
              <w:rPr>
                <w:szCs w:val="16"/>
              </w:rPr>
              <w:t>авленных услуг по договору энергоснабжения в полном объеме в соответствии с порядком, определенном действующим законодательством.</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5.3. Заявленный Потребителем договорной объем потребления электрической энергии может быть изменен путем направления Гарантир</w:t>
            </w:r>
            <w:r>
              <w:rPr>
                <w:szCs w:val="16"/>
              </w:rPr>
              <w:t>ующему поставщику соответствующего уведомления в срок, обеспечивающий получение такого уведомления Гарантирующим поставщиком не позднее чем за 15 дней до начала соответствующего месяца поставки.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5.4. Потребитель имеет право в одностороннем порядке отказат</w:t>
            </w:r>
            <w:r>
              <w:rPr>
                <w:szCs w:val="16"/>
              </w:rPr>
              <w:t>ься от исполнения договора полностью, что влечет расторжение такого договора, при условии оплаты Гарантирующему поставщику не позднее чем за 10 рабочих дней до заявляемой Потребителем даты расторжения договора стоимости потребленной электрической энергии (</w:t>
            </w:r>
            <w:r>
              <w:rPr>
                <w:szCs w:val="16"/>
              </w:rPr>
              <w:t>мощности) и начисленной Гарантирующим поставщиком суммы компенсации в связи с полным отказом от исполнения договора в соответствии с п. 85 Основных положений. В таком случае Потребитель обязан письменно уведомить Гарантирующего поставщика об этом решении н</w:t>
            </w:r>
            <w:r>
              <w:rPr>
                <w:szCs w:val="16"/>
              </w:rPr>
              <w:t>е позднее чем за 20 рабочих дней до заявляемой даты расторжения договора способом, позволяющим подтвердить факт и дату получения указанного уведомления.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5.5. Потребитель вправе присоединять в установленном порядке к своим сетям энергопринимающие установки</w:t>
            </w:r>
            <w:r>
              <w:rPr>
                <w:szCs w:val="16"/>
              </w:rPr>
              <w:t xml:space="preserve"> иных потребителей с обязательной установкой средств измерений электрической энергии и внесением соответствующих изменений в договор.</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5.6. Иные, предусмотренные действующим законодательством и настоящим договором.</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 xml:space="preserve">ДОГОВОРНОЙ ОБЪЕМ ПОТРЕБЛЕНИЯ </w:t>
            </w:r>
            <w:r w:rsidRPr="00DE0626">
              <w:rPr>
                <w:b/>
                <w:szCs w:val="16"/>
              </w:rPr>
              <w:t>ЭЛЕКТРИЧЕСКОЙ ЭНЕРГИИ (МОЩНОСТИ) И ПОРЯДОК СОГЛАСОВАНИЯ ДОГОВОРНОГО ОБЪЕМА НА СЛЕДУЮЩИЙ ГОД.</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6.1. Договорной объем потребления электроэнергии (мощности) по настоящему договору с помесячной детализацией указан в Приложениях №№ 1, 1.1., 1А к договору.</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6.1.</w:t>
            </w:r>
            <w:r>
              <w:rPr>
                <w:szCs w:val="16"/>
              </w:rPr>
              <w:t>1. Потребитель, в случае необходимости, письменно с оригинальной подписью уполномоченного лица и посредством передачи электронного документа  уведомляет Гарантирующего поставщика о вносимых в договорной объем потребления корректировках не позднее двух суто</w:t>
            </w:r>
            <w:r>
              <w:rPr>
                <w:szCs w:val="16"/>
              </w:rPr>
              <w:t>к до начала фактической поставки электрической энергии до 9-00 часов (Приложение №1.2.).  Договорные почасовые объёмы потребления на праздничные, выходные,  нерабочие дни предоставляется в рабочий день, предшествующий праздничным и выходным.</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В случае не п</w:t>
            </w:r>
            <w:r>
              <w:rPr>
                <w:szCs w:val="16"/>
              </w:rPr>
              <w:t>редоставления, либо нарушения срока предоставления Потребителем, информации о плановых почасовых объемах потребления электрической энергии в предусмотренном настоящим пунктом порядке, Гарантирующий поставщик принимает на соответствующие сутки последние под</w:t>
            </w:r>
            <w:r>
              <w:rPr>
                <w:szCs w:val="16"/>
              </w:rPr>
              <w:t>анные Потребителем плановые объемы почасового потребления электрической энергии.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6.2. Прогнозный объем потребления электроэнергии (мощности) на очередной период регулирования тарифов направляется Потребителем Гарантирующему поставщику не позднее 1 февраля</w:t>
            </w:r>
            <w:r>
              <w:rPr>
                <w:szCs w:val="16"/>
              </w:rPr>
              <w:t xml:space="preserve"> года, предшествующего периоду регулирования.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6.3. Договорной объем потребления электрической энергии (мощности) на каждый следующий год с помесячной детализацией по каждой группе электроустановок (менее 670 кВт в разрезе тарифного меню, в т.ч по уровням </w:t>
            </w:r>
            <w:r>
              <w:rPr>
                <w:szCs w:val="16"/>
              </w:rPr>
              <w:t>напряжения) заявляется Потребителем Гарантирующему поставщику не позднее чем за 2 месяца до начала очередного периода регулирования тарифов.</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6.4. В случае если Потребитель не уведомил Гарантирующего поставщика о договорном объеме потребления электрической</w:t>
            </w:r>
            <w:r>
              <w:rPr>
                <w:szCs w:val="16"/>
              </w:rPr>
              <w:t xml:space="preserve"> энергии в установленные сроки, договорной объем для каждого месяца года определяется равным договорному объему потребления электрической энергии за соответствующий месяц предыдущего года, а в случае отсутствия указанных данных - фактическому объему потреб</w:t>
            </w:r>
            <w:r>
              <w:rPr>
                <w:szCs w:val="16"/>
              </w:rPr>
              <w:t>ления электрической энергии за соответствующий месяц предыдущего года.</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КОНФИДЕНЦИАЛЬНОСТЬ.</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7.1. Стороны обязуются не разглашать третьим лицам конфиденциальную информацию и не использовать ее любым другим образом, кроме как для исполнения </w:t>
            </w:r>
            <w:r>
              <w:rPr>
                <w:szCs w:val="16"/>
              </w:rPr>
              <w:t>настоящего договора. Стороны обязуются принять меры необходимые для предотвращения разглашения конфиденциальной информации ее сотрудниками.</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УСТРОЙСТВО И ЭКСПЛУАТАЦИЯ СРЕДСТВ КОММЕРЧЕСКОГО УЧЕТА ЭЛЕКТРИЧЕСКОЙ ЭНЕРГИИ.</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8.1. Потребляемая электрическа</w:t>
            </w:r>
            <w:r>
              <w:rPr>
                <w:szCs w:val="16"/>
              </w:rPr>
              <w:t>я энергия (мощность) подлежат обязательному учету с применением приборов учета, установленных в каждой точке поставки (Приложение №4), допущенных в эксплуатацию и эксплуатируемых в соответствии с законодательством Российской Федерации об обеспечении единст</w:t>
            </w:r>
            <w:r>
              <w:rPr>
                <w:szCs w:val="16"/>
              </w:rPr>
              <w:t>ва измерений и о техническом регулировании, статьей 13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а также установленным требованиям разд</w:t>
            </w:r>
            <w:r>
              <w:rPr>
                <w:szCs w:val="16"/>
              </w:rPr>
              <w:t>ела X  Основных положений.</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Сторона, ответственная за эксплуатацию расчетных приборов  учета электроэнергии обязана обеспечить их соответствие техническим требованиям и условиям эксплуатации согласно действующему законодательству.</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8.1.1. Обязанность по </w:t>
            </w:r>
            <w:r>
              <w:rPr>
                <w:szCs w:val="16"/>
              </w:rPr>
              <w:t>обеспечению эксплуатации установленного и допущенного в эксплуатацию прибора учета, сохранности и целостности прибора учета, а также пломб и (или) знаков визуального контроля, снятию и хранению его показаний, своевременной замене возлагается на собственник</w:t>
            </w:r>
            <w:r>
              <w:rPr>
                <w:szCs w:val="16"/>
              </w:rPr>
              <w:t xml:space="preserve">а такого прибора учета. Места установки, схемы подключения и </w:t>
            </w:r>
            <w:r>
              <w:rPr>
                <w:szCs w:val="16"/>
              </w:rPr>
              <w:lastRenderedPageBreak/>
              <w:t>метрологические характеристики приборов учета должны соответствовать требованиям, установленным законодательством Российской Федерации об обеспечении единства измерений и о техническом регулирова</w:t>
            </w:r>
            <w:r>
              <w:rPr>
                <w:szCs w:val="16"/>
              </w:rPr>
              <w:t>нии.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lastRenderedPageBreak/>
              <w:t>8.1.2. При намерении демонтировать в целях замены, ремонта или поверки прибор учета, Стороны в своих действиях руководствуются п. 149 Основных положений. Собственник приборов учета обязан направить способом, позволяющим подтвердить факт получения, пи</w:t>
            </w:r>
            <w:r>
              <w:rPr>
                <w:szCs w:val="16"/>
              </w:rPr>
              <w:t>сьменную заявку о необходимости снятия показаний существующего прибора учета (заявка), осмотра его состояния и схемы подключения до его демонтажа в адрес другой Стороны не позднее чем за 7 рабочих дней до предполагаемой даты осуществления таких действий. П</w:t>
            </w:r>
            <w:r>
              <w:rPr>
                <w:szCs w:val="16"/>
              </w:rPr>
              <w:t>оказания прибора учета, состояние демонтируемого прибора учета и схемы его подключения на дату проведения указанных действий фиксируются в акте проверки, который должен быть подписан Гарантирующим поставщиком,  Потребителем и Сетевой организацией.</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8.1.3. </w:t>
            </w:r>
            <w:r>
              <w:rPr>
                <w:szCs w:val="16"/>
              </w:rPr>
              <w:t>При обеспечении допуска прибора учета в эксплуатацию Стороны руководствуются п. 152, 153 и 154 Основных положений. Собственник энергопринимающих устройств (объектов по производству электрической энергии (мощности), объектов электросетевого хозяйства), имею</w:t>
            </w:r>
            <w:r>
              <w:rPr>
                <w:szCs w:val="16"/>
              </w:rPr>
              <w:t>щий намерение установить в отношении таких энергопринимающих устройств (объектов по производству электрической энергии (мощности), объектов электросетевого хозяйства) систему учета или прибор учета, входящий в состав измерительного комплекса или системы уч</w:t>
            </w:r>
            <w:r>
              <w:rPr>
                <w:szCs w:val="16"/>
              </w:rPr>
              <w:t>ета, либо заменить ранее установленные систему учета или прибор учета, входящий в состав измерительного комплекса или системы учета, обязан направить письменный запрос о согласовании места установки прибора учета, схемы подключения прибора учета и иных ком</w:t>
            </w:r>
            <w:r>
              <w:rPr>
                <w:szCs w:val="16"/>
              </w:rPr>
              <w:t>понентов измерительных комплексов и систем учета, а также метрологических характеристик прибора учета в порядке, установленном п. 148 Основных положений Допуск прибора учета в эксплуатацию осуществляется на основании заявки собственника такого прибора учет</w:t>
            </w:r>
            <w:r>
              <w:rPr>
                <w:szCs w:val="16"/>
              </w:rPr>
              <w:t>а в порядке, установленном п.п.153-154 Основных положений.</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8.2. 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w:t>
            </w:r>
            <w:r>
              <w:rPr>
                <w:szCs w:val="16"/>
              </w:rPr>
              <w:t>е трансформаторы, составляется паспорт-протокол измерительного комплекса.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8.2.1. В целях информирования собственника прибора учета о необходимости своевременного проведения очередной поверки прибора учета, измерительных трансформаторов Гарантирующий поста</w:t>
            </w:r>
            <w:r>
              <w:rPr>
                <w:szCs w:val="16"/>
              </w:rPr>
              <w:t xml:space="preserve">вщик при проведении проверки прибора учета уведомляет собственника такого прибора учета о необходимости своевременного проведения очередной поверки прибора учета, измерительных трансформаторов путем соответствующего указания в акте проверки прибора учета. </w:t>
            </w:r>
            <w:r>
              <w:rPr>
                <w:szCs w:val="16"/>
              </w:rPr>
              <w:t>Такое уведомление должно быть сделано, если до проведения очередной поверки прибора учета осталось менее 1 календарного года, и проведение проверки прибора учета до наступления срока проведения очередной поверки не планируется.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8.3. Потребитель (собственн</w:t>
            </w:r>
            <w:r>
              <w:rPr>
                <w:szCs w:val="16"/>
              </w:rPr>
              <w:t>ик энергопринимающего устройства, на котором расположены приборы учета) извещает Гарантирующего поставщика о факте нарушения пломб Гарантирующего поставщика и госповерителя, нарушения работоспособности приборов учета или его утрате в течение суток с момент</w:t>
            </w:r>
            <w:r>
              <w:rPr>
                <w:szCs w:val="16"/>
              </w:rPr>
              <w:t>а обнаружения по факсу: +8411 (45) 3-09-02, электронной почтой aldan@watt.ru.  Восстановление пломб производится после оплаты услуг согласно калькуляции.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8.4. Стороны имеют право потребовать проведения калибровки коммерческих приборов учета. Если калибров</w:t>
            </w:r>
            <w:r>
              <w:rPr>
                <w:szCs w:val="16"/>
              </w:rPr>
              <w:t>ка установит несоответствие фактического класса точности электросчетчика паспортному значению, Сторона, ответственная за эксплуатацию, обязана восстановить прибор учета в соответствии п. 8.1.</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8.5. Стороны обязуются при устройстве новых точек учета электро</w:t>
            </w:r>
            <w:r>
              <w:rPr>
                <w:szCs w:val="16"/>
              </w:rPr>
              <w:t>энергии, а также замене выбывших из эксплуатации электросчетчиков (не подлежащих восстановлению или с истекшим сроком эксплуатации) следовать требованиям Основных положений. Гарантирующий поставщик предоставляет технические условия на установку средств уче</w:t>
            </w:r>
            <w:r>
              <w:rPr>
                <w:szCs w:val="16"/>
              </w:rPr>
              <w:t>та.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8.6. Показания средств учета электрической энергии не принимаются к расчету объема потребленной электрической энергии в случаях:</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если при замене выбывших из эксплуатации приборов учета, а также при присоединении новых энергопринимающих устройств, к</w:t>
            </w:r>
            <w:r>
              <w:rPr>
                <w:szCs w:val="16"/>
              </w:rPr>
              <w:t>ласс точности установленных приборов учета будет не соответствовать требованиям, предъявляемым Основными положениями функционирования розничных рынков и другими нормативными документами к соответствующему устройству;</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несанкционированного вмешательства в</w:t>
            </w:r>
            <w:r>
              <w:rPr>
                <w:szCs w:val="16"/>
              </w:rPr>
              <w:t xml:space="preserve"> их работу;</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нарушения целостности пломб, наложенных госповерителем или Гарантирующим поставщиком;</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повреждения или отсутствия знаков визуального контроля;</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неисправности (в том числе механического повреждения) приборов и (или) одного из устройств, а</w:t>
            </w:r>
            <w:r>
              <w:rPr>
                <w:szCs w:val="16"/>
              </w:rPr>
              <w:t xml:space="preserve"> также работы любого из них за пределами норм точности согласно ПУЭ, действующих ГОСТов, паспортных данных завода изготовителя;</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изменения схемы подключения средств расчетного учета;</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повреждения или отсутствия ранее установленной антимагнитной пломбы;</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нарушения, установленных нормативными документами, сроков метрологической поверки;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Факт и время выхода из строя средств коммерческого учета устанавливаются по итогам их совместной проверки представителями Сетевой организации и (или) Гарантирующего </w:t>
            </w:r>
            <w:r>
              <w:rPr>
                <w:szCs w:val="16"/>
              </w:rPr>
              <w:t>поставщика и Потребителя с составлением соответствующего Акта.</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ПОРЯДОК ОПРЕДЕЛЕНИЯ ФАКТИЧЕСКОГО ОБЪЕМА ПОТРЕБЛЕНИЯ ЭЛЕКТРОЭНЕРГИИ (МОЩНОСТИ).</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9.1. Расчет потребленной электрической энергии производится на основании показаний  коммерческих  приборо</w:t>
            </w:r>
            <w:r>
              <w:rPr>
                <w:szCs w:val="16"/>
              </w:rPr>
              <w:t>в учета (Приложение № 4), или путем применения расчетных способов в порядке и в случаях, предусмотренных настоящим договором и Основными положениями.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9.2. Потребитель  обязан  снять показания на последний рабочий день каждого месяца и в течение рабочего </w:t>
            </w:r>
            <w:r>
              <w:rPr>
                <w:szCs w:val="16"/>
              </w:rPr>
              <w:t>дня передать Гарантирующему поставщику данную информацию по факсу № +8411 (45) 3-09-02, электронной почтой aldan@watt.ru (справочно телефоны: +8411 (45) 36-1-52). Данные предоставляются согласно установленным «Сведениям о расходе потребления электроэнергии</w:t>
            </w:r>
            <w:r>
              <w:rPr>
                <w:szCs w:val="16"/>
              </w:rPr>
              <w:t xml:space="preserve"> за расчетный период (форма)» (Приложение № 10) и «Сведениям о фактическом почасовом потреблении электроэнергии за ___________ 20___ года по расчетным интервальным приборам учета» (Приложение №1.3.) за подписью уполномоченного лица. Гарантирующий поставщик</w:t>
            </w:r>
            <w:r>
              <w:rPr>
                <w:szCs w:val="16"/>
              </w:rPr>
              <w:t xml:space="preserve"> имеет право по предварительному согласованию участвовать в снятии показаний.</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9.3. Объем потребления электрической энергии определяется следующими расчетными способами: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9.3.1. В случае непредставления Потребителем показаний расчетного прибора учета в уст</w:t>
            </w:r>
            <w:r>
              <w:rPr>
                <w:szCs w:val="16"/>
              </w:rPr>
              <w:t>ановленные сроки, а также неисправности, утраты или истечения срока межповерочного интервала расчетного прибора учета либо его демонтажа в связи с поверкой, ремонтом или заменой определение объема потребления электрической энергии осуществляется в следующе</w:t>
            </w:r>
            <w:r>
              <w:rPr>
                <w:szCs w:val="16"/>
              </w:rPr>
              <w:t>м порядке:</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для 1-го и 2-го расчетных периодов подряд, за которые не предоставлены показания расчетного прибора учета, объем потребления электрической энергии определяются исходя из показаний расчетного прибора учета за аналогичный расчетный период преды</w:t>
            </w:r>
            <w:r>
              <w:rPr>
                <w:szCs w:val="16"/>
              </w:rPr>
              <w:t>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lastRenderedPageBreak/>
              <w:t>-</w:t>
            </w:r>
          </w:p>
        </w:tc>
        <w:tc>
          <w:tcPr>
            <w:tcW w:w="9359" w:type="dxa"/>
            <w:gridSpan w:val="4"/>
            <w:shd w:val="clear" w:color="FFFFFF" w:fill="auto"/>
          </w:tcPr>
          <w:p w:rsidR="001B41C4" w:rsidRDefault="00243D40">
            <w:pPr>
              <w:jc w:val="both"/>
            </w:pPr>
            <w:r>
              <w:rPr>
                <w:szCs w:val="16"/>
              </w:rPr>
              <w:t>для 3-го и последующих расчетных периодов по</w:t>
            </w:r>
            <w:r>
              <w:rPr>
                <w:szCs w:val="16"/>
              </w:rPr>
              <w:t>дряд, за которые не предоставлены показания расчетного прибора учета, объем потребления электрической энергии определяется расчетным способом в соответствии с п.2.1., п.2.2. Приложения № 8 к настоящему договору.</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9.3.2. В случае если в течение 12 месяцев р</w:t>
            </w:r>
            <w:r>
              <w:rPr>
                <w:szCs w:val="16"/>
              </w:rPr>
              <w:t>асчетный прибор учета повторно вышел из строя по причине его неисправности или утраты, то определение объема потребления электрической энергии осуществляется:</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с даты выхода расчетного прибора учета из строя и в течение одного расчетного периода после эт</w:t>
            </w:r>
            <w:r>
              <w:rPr>
                <w:szCs w:val="16"/>
              </w:rPr>
              <w:t>ого объем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w:t>
            </w:r>
            <w:r>
              <w:rPr>
                <w:szCs w:val="16"/>
              </w:rPr>
              <w:t>ного прибора учета за ближайший расчетный период, когда такие показания были предоставлены;</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в последующие расчетные периоды вплоть до допуска расчетного прибора учета в эксплуатацию объем потребления электрической энергии определяется расчетным способом</w:t>
            </w:r>
            <w:r>
              <w:rPr>
                <w:szCs w:val="16"/>
              </w:rPr>
              <w:t xml:space="preserve"> в соответствии с п.2.1., п.2.2. Приложения № 8 к настоящему договору.</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9.3.3. В случае 2-кратного недопуска к расчетному прибору учета, установленному в границах энергопринимающих устройств Потребителя, для проведения контрольного снятия показаний или про</w:t>
            </w:r>
            <w:r>
              <w:rPr>
                <w:szCs w:val="16"/>
              </w:rPr>
              <w:t>ведения проверки приборов учета объем потребления электрической энергии начиная с даты, когда произошел факт 2-кратного недопуска, вплоть до даты допуска к расчетному прибору учета определяется в соответствии с п.2.1., п.2.2. Приложения № 8 к настоящему до</w:t>
            </w:r>
            <w:r>
              <w:rPr>
                <w:szCs w:val="16"/>
              </w:rPr>
              <w:t>говору.</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9.3.4. В случае выявления факта безучетного потребления электрической энергии, а также в отсутствие прибора учета вплоть до даты допуска прибора учета в эксплуатацию объем потребления электрической энергии определяется расчетным способом в соответ</w:t>
            </w:r>
            <w:r>
              <w:rPr>
                <w:szCs w:val="16"/>
              </w:rPr>
              <w:t>ствии с п.2.1., п.2.2. Приложения № 8 к настоящему договору.</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9.4. В случае если прибор учета расположен не на границе балансовой принадлежности электроустановок, объем отпущенной Потребителю электроэнергии корректируется на величину потерь электроэнергии,</w:t>
            </w:r>
            <w:r>
              <w:rPr>
                <w:szCs w:val="16"/>
              </w:rPr>
              <w:t xml:space="preserve"> возникающих на участке сети от границы балансовой принадлежности до места установки прибора учета. При этом величина потерь определяется в соответствии с Приложением № 2 к настоящему договору.</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9.5. При выявлении Гарантирующим поставщиком фактов безучетно</w:t>
            </w:r>
            <w:r>
              <w:rPr>
                <w:szCs w:val="16"/>
              </w:rPr>
              <w:t>го потребления Потребителем и недопуска представителя Гарантирующего поставщика к осмотру приборов учета и электроустановок составляется акт в порядке, предусмотренном действующим законодательством.</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9.6. До внесения изменений в договор в связи с изменение</w:t>
            </w:r>
            <w:r>
              <w:rPr>
                <w:szCs w:val="16"/>
              </w:rPr>
              <w:t>м величины максимальной (присоединенной) мощности и (или) замене прибора(ов), для расчета фактического потребления электрической энергии в расчетном периоде, Стороны руководствуются актами, оформленными в установленном законом порядке.</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 xml:space="preserve">УСЛОВИЯ О </w:t>
            </w:r>
            <w:r w:rsidRPr="00DE0626">
              <w:rPr>
                <w:b/>
                <w:szCs w:val="16"/>
              </w:rPr>
              <w:t>ЦЕНЕ ДОГОВОРА.</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10.1. Стоимость фактически потребленной электрической энергии (мощности) Потребителем определяется исходя из фактического объема потребления электрической энергии (мощности) и регулируемой цены на электрическую энергию (мощность), установле</w:t>
            </w:r>
            <w:r>
              <w:rPr>
                <w:szCs w:val="16"/>
              </w:rPr>
              <w:t>нной органом исполнительной власти субъекта Российской Федерации в области государственного регулирования тарифов в виде формулы. Значения конечных регулируемых цен за соответствующий расчетный период рассчитываются  Гарантирующим поставщиком в соответстви</w:t>
            </w:r>
            <w:r>
              <w:rPr>
                <w:szCs w:val="16"/>
              </w:rPr>
              <w:t>и с разделом XII Основных положений функционирования розничных рынков электрической энергии, утвержденных постановлением Правительства РФ  от 04.05.2012г. №442.</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Значения конечных регулируемых цен и их составляющих для соответствующих ценовых категорий дов</w:t>
            </w:r>
            <w:r>
              <w:rPr>
                <w:szCs w:val="16"/>
              </w:rPr>
              <w:t>одятся до сведения Потребителя путем размещения соответствующей информации на сайте Гарантирующего поставщика в сети Интернет (www.yakutskenergo.ru), а также в счетах на оплату электрической энергии (мощности).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10.2. Установленные на момент заключения нас</w:t>
            </w:r>
            <w:r>
              <w:rPr>
                <w:szCs w:val="16"/>
              </w:rPr>
              <w:t>тоящего договора регулируемые цены могут изменяться в соответствии с решениями (постановлениями) органов исполнительной власти субъекта Российской Федерации в области государственного регулирования тарифов. Изменение регулируемых цен в период действия наст</w:t>
            </w:r>
            <w:r>
              <w:rPr>
                <w:szCs w:val="16"/>
              </w:rPr>
              <w:t>оящего договора не требует его переоформления и вводится в действие со дня, указанного в соответствующем нормативном акте.</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10.3. При наличии у Потребителя объектов энергоснабжения различных тарификационных групп, расчеты производятся дифференцированно, по</w:t>
            </w:r>
            <w:r>
              <w:rPr>
                <w:szCs w:val="16"/>
              </w:rPr>
              <w:t xml:space="preserve"> каждой группе электропотребления, согласно регулируемым ценам, принятым органом исполнительной власти субъекта Российской Федерации в области государственного регулирования тарифов, в зависимости от уровня напряжения в месте присоединения к электросети СЕ</w:t>
            </w:r>
            <w:r>
              <w:rPr>
                <w:szCs w:val="16"/>
              </w:rPr>
              <w:t>ТЕВОЙ ОРГАНИЗАЦИИ, определенного в Актах разграничения балансовой принадлежности электрических сетей и эксплуатационной ответственности сторон.</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10.4. В случае если в ходе исполнения договора вступил в силу нормативный правовой акт, изменяющий порядок опре</w:t>
            </w:r>
            <w:r>
              <w:rPr>
                <w:szCs w:val="16"/>
              </w:rPr>
              <w:t>деления цены по договору или принят акт об установлении новой цены, Стороны с момента его введения в действие при осуществлении расчетов по договору обязаны применять новый порядок определения цен и (или) новую цену.</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 xml:space="preserve">ПОРЯДОК ОПЛАТЫ ПО ДОГОВОРУ И </w:t>
            </w:r>
            <w:r w:rsidRPr="00DE0626">
              <w:rPr>
                <w:b/>
                <w:szCs w:val="16"/>
              </w:rPr>
              <w:t>СРОК ИСПОЛНЕНИЯ ПОТРЕБИТЕЛЕМ ОБЯЗАТЕЛЬСТВА ПО ОПЛАТЕ ЭЛЕКТРИЧЕСКОЙ ЭНЕРГИИ (СРОК ПЛАТЕЖА).</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11.1. Гарантирующий поставщик в срок до 5-го числа месяца, в котором осуществляется потребление электрической энергии, выставляет Потребителю счет на оплату договор</w:t>
            </w:r>
            <w:r>
              <w:rPr>
                <w:szCs w:val="16"/>
              </w:rPr>
              <w:t>ного объема потребления электрической энергии (мощности) текущего месяца по тарифу, установленному органом исполнительной власти субъекта Российской Федерации в области государственного регулирования тарифов для данной категории Потребителей.</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Потребитель </w:t>
            </w:r>
            <w:r>
              <w:rPr>
                <w:szCs w:val="16"/>
              </w:rPr>
              <w:t>электроэнергии самостоятельно оплачивают электрическую энергию (мощность) Гарантирующему поставщику в следующем порядке:</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30 процентов стоимости договорного объема потребления электрической энергии (мощности) в месяце, за который осуществляется оплата, в</w:t>
            </w:r>
            <w:r>
              <w:rPr>
                <w:szCs w:val="16"/>
              </w:rPr>
              <w:t>носится в срок до 10-го числа этого месяца;</w:t>
            </w:r>
          </w:p>
        </w:tc>
      </w:tr>
      <w:tr w:rsidR="001B41C4">
        <w:tblPrEx>
          <w:tblCellMar>
            <w:top w:w="0" w:type="dxa"/>
            <w:left w:w="0" w:type="dxa"/>
            <w:bottom w:w="0" w:type="dxa"/>
            <w:right w:w="0" w:type="dxa"/>
          </w:tblCellMar>
        </w:tblPrEx>
        <w:trPr>
          <w:trHeight w:val="60"/>
        </w:trPr>
        <w:tc>
          <w:tcPr>
            <w:tcW w:w="499" w:type="dxa"/>
            <w:shd w:val="clear" w:color="FFFFFF" w:fill="auto"/>
          </w:tcPr>
          <w:p w:rsidR="001B41C4" w:rsidRDefault="00243D40">
            <w:pPr>
              <w:jc w:val="right"/>
            </w:pPr>
            <w:r>
              <w:rPr>
                <w:szCs w:val="16"/>
              </w:rPr>
              <w:t>-</w:t>
            </w:r>
          </w:p>
        </w:tc>
        <w:tc>
          <w:tcPr>
            <w:tcW w:w="9359" w:type="dxa"/>
            <w:gridSpan w:val="4"/>
            <w:shd w:val="clear" w:color="FFFFFF" w:fill="auto"/>
          </w:tcPr>
          <w:p w:rsidR="001B41C4" w:rsidRDefault="00243D40">
            <w:pPr>
              <w:jc w:val="both"/>
            </w:pPr>
            <w:r>
              <w:rPr>
                <w:szCs w:val="16"/>
              </w:rPr>
              <w:t>40 процентов стоимости договорного объема потребления электрической энергии (мощности) в месяце, за который осуществляется оплата, вносится в срок до 25-го числа этого месяца.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11.2. Не позднее 18 числа месяца</w:t>
            </w:r>
            <w:r>
              <w:rPr>
                <w:szCs w:val="16"/>
              </w:rPr>
              <w:t>, следующего за расчетным, Гарантирующий поставщик предоставляет Потребителю счет-фактуру за весь расчетный период на весь объем фактически потребленной электрической энергии (мощности), определенный в соответствии с разделом 9 настоящего договора. Одновре</w:t>
            </w:r>
            <w:r>
              <w:rPr>
                <w:szCs w:val="16"/>
              </w:rPr>
              <w:t>менно со счетом-фактурой Гарантирующий поставщик направляет Потребителю Акт приема-передачи электрической энергии, который Потребитель обязан подписать и вернуть Гарантирующему поставщику. В случае неполучения Гарантирующим поставщиком со стороны Потребите</w:t>
            </w:r>
            <w:r>
              <w:rPr>
                <w:szCs w:val="16"/>
              </w:rPr>
              <w:t>ля подписанного акта, либо мотивированных возражений в 5-тидневный срок с даты его направления, количество отпущенной электрической энергии (мощности), указанные в Акте, считаются принятыми Потребителем договора.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Оплата за фактически потребленную в </w:t>
            </w:r>
            <w:r>
              <w:rPr>
                <w:szCs w:val="16"/>
              </w:rPr>
              <w:t xml:space="preserve">истекшем месяце электрическую энергию (мощность) с учетом средств, ранее внесенных Потребителем в качестве оплаты за электрическую энергию (мощность) в расчетном периоде, осуществляется в срок до 23-го числа месяца, следующего за расчетным. В случае, если </w:t>
            </w:r>
            <w:r>
              <w:rPr>
                <w:szCs w:val="16"/>
              </w:rPr>
              <w:t xml:space="preserve">объем фактического потребления электрической энергии (мощности) за </w:t>
            </w:r>
            <w:r>
              <w:rPr>
                <w:szCs w:val="16"/>
              </w:rPr>
              <w:lastRenderedPageBreak/>
              <w:t>истекший месяц меньше объема, определенного соглашением сторон, излишне уплаченная сумма зачитывается в счет платежа за следующий месяц.</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lastRenderedPageBreak/>
              <w:t>11.3. Обязательство по оплате электрической энергии</w:t>
            </w:r>
            <w:r>
              <w:rPr>
                <w:szCs w:val="16"/>
              </w:rPr>
              <w:t xml:space="preserve"> (мощности) считается исполненным в день поступления денежных средств на расчетный счет или в кассу Гарантирующего поставщика.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11.4. Под расчетным периодом для расчета Потребителя с Гарантирующим поставщиком понимается календарный месяц.</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11.5. При оплате</w:t>
            </w:r>
            <w:r>
              <w:rPr>
                <w:szCs w:val="16"/>
              </w:rPr>
              <w:t xml:space="preserve"> Потребителем потребленной электрической энергии (мощности) собственными платежными поручениями без указания номера оплачиваемого счета, счет-фактуры, периода, за который производится платеж, а также в случае противоречия данных, указанных Потребителем при</w:t>
            </w:r>
            <w:r>
              <w:rPr>
                <w:szCs w:val="16"/>
              </w:rPr>
              <w:t xml:space="preserve"> оплате, Гарантирующий поставщик вправе самостоятельно определить период, за который произведена оплата.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11.6. Стороны обязуются производить сверки по расчетам за электрическую энергию с оформлением двусторонних актов по требованию любой из сторон.</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11.7.</w:t>
            </w:r>
            <w:r>
              <w:rPr>
                <w:szCs w:val="16"/>
              </w:rPr>
              <w:t xml:space="preserve"> Потребитель обязуется в установленные данным разделом сроки получать счета-фактуры и акты према-передачи электрической энергии, при их неполучении обязанность Потребителя считается исполненной, счет-фактура и акты према-передачи электрической энергии счит</w:t>
            </w:r>
            <w:r>
              <w:rPr>
                <w:szCs w:val="16"/>
              </w:rPr>
              <w:t>ается предъявленными к оплате Потребителю в последний день срока, установленного для ее получения.</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ПОРЯДОК ЧАСТИЧНОГО И (ИЛИ) ПОЛНОГО ОГРАНИЧЕНИЯ РЕЖИМА ПОТРЕБЛЕНИЯ ЭЛЕКТРОЭНЕРГИИ.</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12.1. Частичное и (или) полное ограничение режима потребления эл</w:t>
            </w:r>
            <w:r>
              <w:rPr>
                <w:szCs w:val="16"/>
              </w:rPr>
              <w:t>ектроэнергии осуществляется в соответствии с Правилами полного и (или) частичного ограничения режима потребления электрической энергии утвержденными Постановлением Правительства РФ №442 от 04.05.2012 г. При этом Гарантирующий поставщик направляет Потребите</w:t>
            </w:r>
            <w:r>
              <w:rPr>
                <w:szCs w:val="16"/>
              </w:rPr>
              <w:t>лю  письменное уведомление о введении ограничении режима потребления, в том числе, телефонограммой, факсом, e-mail с подтверждением доставки, почтовым сообщением с уведомлением о вручении, нарочным.</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 xml:space="preserve">УСЛОВИЕ ОБ ОДНОСТОРОННЕМ ИЗМЕНЕНИИ ПУБЛИЧНОГО </w:t>
            </w:r>
            <w:r w:rsidRPr="00DE0626">
              <w:rPr>
                <w:b/>
                <w:szCs w:val="16"/>
              </w:rPr>
              <w:t>ДОГОВОРА ПРИ  ПРИНЯТИИ НОРМАТИВНО-ПРАВОВЫХ АКТОВ.</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13.1. Настоящий договор заключен в соответствии с положениями законов и иных нормативных правовых актов, действующих на момент его заключения. В случае принятия после заключения договора законов и иных нор</w:t>
            </w:r>
            <w:r>
              <w:rPr>
                <w:szCs w:val="16"/>
              </w:rPr>
              <w:t xml:space="preserve">мативных правовых актов, устанавливающих иные правила исполнения публичных договоров или содержащих иные правила деятельности Гарантирующего поставщика, то установленные такими документами новые нормы обязательны для Сторон с момента их вступления в силу, </w:t>
            </w:r>
            <w:r>
              <w:rPr>
                <w:szCs w:val="16"/>
              </w:rPr>
              <w:t>если самими нормативными правовыми актами не установлен иной срок.</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ОТВЕТСТВЕННОСТЬ СТОРОН ДОГОВОРА.</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14.1. Гарантирующий поставщик несет ответственность за неисполнение или ненадлежащее исполнение обязательств по договору в виде возмещения реально</w:t>
            </w:r>
            <w:r>
              <w:rPr>
                <w:szCs w:val="16"/>
              </w:rPr>
              <w:t>го ущерба.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14.2. Гарантирующий поставщик, который не исполнил или ненадлежащим образом исполнил обязательства по договору, несет установленную законодательством РФ ответственность в случаях ограничения режима потребления электроэнергии сверх сроков, опред</w:t>
            </w:r>
            <w:r>
              <w:rPr>
                <w:szCs w:val="16"/>
              </w:rPr>
              <w:t>еленных установленной в договоре категорией надежности снабжения, нарушения установленного порядка полного и (или) частичного ограничения режима потребления электрической энергии, отклонений показателей качества электрической энергии сверх величин, установ</w:t>
            </w:r>
            <w:r>
              <w:rPr>
                <w:szCs w:val="16"/>
              </w:rPr>
              <w:t>ленных техническими регламентами и иными обязательными требованиями.</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14.3. Потребитель несет ответственность за неисполнение либо ненадлежащее исполнение договора, за несвоевременное извещение Гарантирующего поставщика об изменениях банковских реквизитов,</w:t>
            </w:r>
            <w:r>
              <w:rPr>
                <w:szCs w:val="16"/>
              </w:rPr>
              <w:t xml:space="preserve"> руководителя предприятия, установленной мощности объектов, включенных в договор в связи с введением либо выведением объектов (электроустановок) в соответствии с действующим законодательством и условиями настоящего договора.</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14.4. Все споры, разногласия и</w:t>
            </w:r>
            <w:r>
              <w:rPr>
                <w:szCs w:val="16"/>
              </w:rPr>
              <w:t xml:space="preserve">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недействительностью), подлежат разрешению в Арбитражном суде Республики Саха (Яку</w:t>
            </w:r>
            <w:r>
              <w:rPr>
                <w:szCs w:val="16"/>
              </w:rPr>
              <w:t>тия).</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14.5. Потребитель, несвоевременно и (или) не полностью оплативший электрическую энергию, а также услуги по ее передаче, обязан уплатить Гарантирующему поставщику пени в размере одной стотридцатой ставки рефинансирования Центрального банка Российской</w:t>
            </w:r>
            <w:r>
              <w:rPr>
                <w:szCs w:val="16"/>
              </w:rPr>
              <w:t xml:space="preserve"> Федерации, действующей на день фактической оплаты, от не выплаченных в срок стоимостей электрической энергии (мощности), указанных в пункте 11.1, 11.2. настоящего договора, за каждый день просрочки начиная со следующего дня после дня наступления установле</w:t>
            </w:r>
            <w:r>
              <w:rPr>
                <w:szCs w:val="16"/>
              </w:rPr>
              <w:t>нных сроков оплаты по день фактической оплаты.</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СРОК ДЕЙСТВИЯ ДОГОВОРА.</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rsidP="00DE0626">
            <w:pPr>
              <w:jc w:val="both"/>
            </w:pPr>
            <w:r>
              <w:rPr>
                <w:szCs w:val="16"/>
              </w:rPr>
              <w:t>15.1. Настоящий договор считается заключенным с момента подписания и действует по 31 декабря 201</w:t>
            </w:r>
            <w:r w:rsidR="00DE0626">
              <w:rPr>
                <w:szCs w:val="16"/>
              </w:rPr>
              <w:t>8</w:t>
            </w:r>
            <w:r>
              <w:rPr>
                <w:szCs w:val="16"/>
              </w:rPr>
              <w:t> г.</w:t>
            </w:r>
            <w:r>
              <w:rPr>
                <w:szCs w:val="16"/>
              </w:rPr>
              <w:t xml:space="preserve"> Стороны договорились, что настоящий договор распространяет свое действие </w:t>
            </w:r>
            <w:r>
              <w:rPr>
                <w:szCs w:val="16"/>
              </w:rPr>
              <w:t>на отношения, возникшие с 01 января 201</w:t>
            </w:r>
            <w:r w:rsidR="00DE0626">
              <w:rPr>
                <w:szCs w:val="16"/>
              </w:rPr>
              <w:t>8</w:t>
            </w:r>
            <w:r>
              <w:rPr>
                <w:szCs w:val="16"/>
              </w:rPr>
              <w:t> г</w:t>
            </w:r>
            <w:r>
              <w:rPr>
                <w:szCs w:val="16"/>
              </w:rPr>
              <w:t>.</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 xml:space="preserve">15.2. Настоящий договор, считается продленным на тот же срок и на тех же условиях, если за 30 дней до окончания срока его действия Потребитель не заявит о его прекращении или изменении либо о заключении нового </w:t>
            </w:r>
            <w:r>
              <w:rPr>
                <w:szCs w:val="16"/>
              </w:rPr>
              <w:t>договора. Если за 30 дней до окончания срока действия договора, заключенного на определенный срок, Потребителем внесено предложение об изменении договора или заключении нового договора, то отношения сторон до изменения договора или до заключения нового дог</w:t>
            </w:r>
            <w:r>
              <w:rPr>
                <w:szCs w:val="16"/>
              </w:rPr>
              <w:t>овора регулируются в соответствии с условиями ранее заключенного договора.</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rPr>
                <w:b/>
                <w:szCs w:val="16"/>
              </w:rPr>
              <w:t>ИНЫЕ УСЛОВИЯ.</w:t>
            </w:r>
          </w:p>
          <w:p w:rsidR="00DE0626" w:rsidRPr="00DE0626" w:rsidRDefault="00DE0626" w:rsidP="00DE0626">
            <w:pPr>
              <w:pStyle w:val="a4"/>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16.1. Гарантирующий поставщик и Потребитель назначают лиц, имеющих право подписи документов, оформляемых при исполнении настоящего договора. Полномочия могут</w:t>
            </w:r>
            <w:r>
              <w:rPr>
                <w:szCs w:val="16"/>
              </w:rPr>
              <w:t xml:space="preserve"> подтверждаться приказами, распоряжениями, доверенностями, иными документами. Каждая из сторон предоставляет доказательства, подтверждающие полномочия ее представителей, другой стороне.</w:t>
            </w: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Default="00243D40">
            <w:pPr>
              <w:jc w:val="both"/>
            </w:pPr>
            <w:r>
              <w:rPr>
                <w:szCs w:val="16"/>
              </w:rPr>
              <w:t>16.2. В случае если Потребитель не доведет сведения до Гарантирующего</w:t>
            </w:r>
            <w:r>
              <w:rPr>
                <w:szCs w:val="16"/>
              </w:rPr>
              <w:t xml:space="preserve"> поставщика информацию о лицах, ответственных за энергоснабжение, а также о лицах, имеющих право подписывать акты, своевременно не уведомит об увольнении либо отсутствии указанных лиц, либо если указанные лица не явятся для присутствия при проводимой прове</w:t>
            </w:r>
            <w:r>
              <w:rPr>
                <w:szCs w:val="16"/>
              </w:rPr>
              <w:t>рке, Гарантирующий поставщик вправе составить акт с участием любого из работников Потребителя, присутствующих на проверяемом объекте.</w:t>
            </w:r>
          </w:p>
        </w:tc>
      </w:tr>
      <w:tr w:rsidR="001B41C4">
        <w:tblPrEx>
          <w:tblCellMar>
            <w:top w:w="0" w:type="dxa"/>
            <w:left w:w="0" w:type="dxa"/>
            <w:bottom w:w="0" w:type="dxa"/>
            <w:right w:w="0" w:type="dxa"/>
          </w:tblCellMar>
        </w:tblPrEx>
        <w:tc>
          <w:tcPr>
            <w:tcW w:w="9858" w:type="dxa"/>
            <w:gridSpan w:val="5"/>
            <w:shd w:val="clear" w:color="FFFFFF" w:fill="auto"/>
          </w:tcPr>
          <w:p w:rsidR="001B41C4" w:rsidRDefault="00243D40">
            <w:pPr>
              <w:jc w:val="both"/>
            </w:pPr>
            <w:r>
              <w:rPr>
                <w:szCs w:val="16"/>
              </w:rPr>
              <w:t>16.3. Стороны обязуются принять необходимые правовые, организационные и технические меры по защите конфиденциальности и о</w:t>
            </w:r>
            <w:r>
              <w:rPr>
                <w:szCs w:val="16"/>
              </w:rPr>
              <w:t xml:space="preserve">беспечению безопасности обрабатываемых персональных данных физических лиц в соответствии с требованиями ст. 19 </w:t>
            </w:r>
            <w:r>
              <w:rPr>
                <w:szCs w:val="16"/>
              </w:rPr>
              <w:lastRenderedPageBreak/>
              <w:t>Федерального закона от 27.07.2006 г. № 152-ФЗ «О персональных данных». Стороны несут ответственность за конфиденциальность обрабатываемых персона</w:t>
            </w:r>
            <w:r>
              <w:rPr>
                <w:szCs w:val="16"/>
              </w:rPr>
              <w:t>льных данных при выполнении условий настоящего договора.</w:t>
            </w:r>
          </w:p>
        </w:tc>
      </w:tr>
      <w:tr w:rsidR="001B41C4">
        <w:tblPrEx>
          <w:tblCellMar>
            <w:top w:w="0" w:type="dxa"/>
            <w:left w:w="0" w:type="dxa"/>
            <w:bottom w:w="0" w:type="dxa"/>
            <w:right w:w="0" w:type="dxa"/>
          </w:tblCellMar>
        </w:tblPrEx>
        <w:trPr>
          <w:trHeight w:val="135"/>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9858" w:type="dxa"/>
            <w:gridSpan w:val="5"/>
            <w:shd w:val="clear" w:color="FFFFFF" w:fill="auto"/>
          </w:tcPr>
          <w:p w:rsidR="001B41C4" w:rsidRPr="00DE0626" w:rsidRDefault="00243D40" w:rsidP="00DE0626">
            <w:pPr>
              <w:pStyle w:val="a4"/>
              <w:numPr>
                <w:ilvl w:val="0"/>
                <w:numId w:val="1"/>
              </w:numPr>
              <w:jc w:val="both"/>
              <w:rPr>
                <w:b/>
                <w:szCs w:val="16"/>
              </w:rPr>
            </w:pPr>
            <w:r w:rsidRPr="00DE0626">
              <w:br w:type="page"/>
            </w:r>
            <w:r w:rsidRPr="00DE0626">
              <w:rPr>
                <w:b/>
                <w:szCs w:val="16"/>
              </w:rPr>
              <w:t>ЮРИДИЧЕСКИЕ АДРЕСА И РЕКВИЗИТЫ СТОРОН.</w:t>
            </w:r>
          </w:p>
          <w:p w:rsidR="00DE0626" w:rsidRPr="00DE0626" w:rsidRDefault="00DE0626" w:rsidP="00DE0626">
            <w:pPr>
              <w:pStyle w:val="a4"/>
              <w:jc w:val="both"/>
            </w:pPr>
            <w:bookmarkStart w:id="0" w:name="_GoBack"/>
            <w:bookmarkEnd w:id="0"/>
          </w:p>
        </w:tc>
      </w:tr>
      <w:tr w:rsidR="001B41C4">
        <w:tblPrEx>
          <w:tblCellMar>
            <w:top w:w="0" w:type="dxa"/>
            <w:left w:w="0" w:type="dxa"/>
            <w:bottom w:w="0" w:type="dxa"/>
            <w:right w:w="0" w:type="dxa"/>
          </w:tblCellMar>
        </w:tblPrEx>
        <w:trPr>
          <w:trHeight w:val="60"/>
        </w:trPr>
        <w:tc>
          <w:tcPr>
            <w:tcW w:w="4936" w:type="dxa"/>
            <w:gridSpan w:val="3"/>
            <w:tcBorders>
              <w:top w:val="single" w:sz="5" w:space="0" w:color="808080"/>
              <w:left w:val="single" w:sz="5" w:space="0" w:color="808080"/>
              <w:right w:val="single" w:sz="5" w:space="0" w:color="808080"/>
            </w:tcBorders>
            <w:shd w:val="clear" w:color="FFFFFF" w:fill="auto"/>
          </w:tcPr>
          <w:p w:rsidR="001B41C4" w:rsidRDefault="00243D40">
            <w:pPr>
              <w:jc w:val="both"/>
            </w:pPr>
            <w:r>
              <w:rPr>
                <w:b/>
                <w:szCs w:val="16"/>
              </w:rPr>
              <w:t>Гарантирующий поставщик:</w:t>
            </w:r>
          </w:p>
        </w:tc>
        <w:tc>
          <w:tcPr>
            <w:tcW w:w="4922" w:type="dxa"/>
            <w:gridSpan w:val="2"/>
            <w:tcBorders>
              <w:top w:val="single" w:sz="5" w:space="0" w:color="808080"/>
              <w:left w:val="single" w:sz="5" w:space="0" w:color="808080"/>
              <w:right w:val="single" w:sz="5" w:space="0" w:color="808080"/>
            </w:tcBorders>
            <w:shd w:val="clear" w:color="FFFFFF" w:fill="auto"/>
          </w:tcPr>
          <w:p w:rsidR="001B41C4" w:rsidRDefault="00243D40">
            <w:pPr>
              <w:jc w:val="both"/>
            </w:pPr>
            <w:r>
              <w:rPr>
                <w:b/>
                <w:szCs w:val="16"/>
              </w:rPr>
              <w:t>Потребитель:</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bottom w:val="single" w:sz="5" w:space="0" w:color="808080"/>
              <w:right w:val="single" w:sz="5" w:space="0" w:color="808080"/>
            </w:tcBorders>
            <w:shd w:val="clear" w:color="FFFFFF" w:fill="auto"/>
          </w:tcPr>
          <w:p w:rsidR="001B41C4" w:rsidRDefault="00243D40">
            <w:pPr>
              <w:jc w:val="both"/>
            </w:pPr>
            <w:r>
              <w:rPr>
                <w:szCs w:val="16"/>
              </w:rPr>
              <w:t>Публичное акционерное общество "Якутскэнерго" Алданское отделение Энергосбыта</w:t>
            </w:r>
          </w:p>
        </w:tc>
        <w:tc>
          <w:tcPr>
            <w:tcW w:w="4922" w:type="dxa"/>
            <w:gridSpan w:val="2"/>
            <w:tcBorders>
              <w:left w:val="single" w:sz="5" w:space="0" w:color="808080"/>
              <w:bottom w:val="single" w:sz="5" w:space="0" w:color="808080"/>
              <w:right w:val="single" w:sz="5" w:space="0" w:color="808080"/>
            </w:tcBorders>
            <w:shd w:val="clear" w:color="FFFFFF" w:fill="auto"/>
          </w:tcPr>
          <w:p w:rsidR="001B41C4" w:rsidRDefault="00243D40">
            <w:pPr>
              <w:jc w:val="both"/>
            </w:pPr>
            <w:r>
              <w:rPr>
                <w:szCs w:val="16"/>
              </w:rPr>
              <w:t xml:space="preserve">Акционерное общество </w:t>
            </w:r>
            <w:r>
              <w:rPr>
                <w:szCs w:val="16"/>
              </w:rPr>
              <w:t>"Дальневосточная распределительная сетевая компания" (АО "ДРСК")</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bottom w:val="single" w:sz="5" w:space="0" w:color="808080"/>
              <w:right w:val="single" w:sz="5" w:space="0" w:color="808080"/>
            </w:tcBorders>
            <w:shd w:val="clear" w:color="FFFFFF" w:fill="auto"/>
          </w:tcPr>
          <w:p w:rsidR="001B41C4" w:rsidRDefault="00243D40">
            <w:pPr>
              <w:jc w:val="both"/>
            </w:pPr>
            <w:r>
              <w:rPr>
                <w:szCs w:val="16"/>
              </w:rPr>
              <w:t>ОКПО 47699846</w:t>
            </w:r>
          </w:p>
        </w:tc>
        <w:tc>
          <w:tcPr>
            <w:tcW w:w="4922" w:type="dxa"/>
            <w:gridSpan w:val="2"/>
            <w:tcBorders>
              <w:left w:val="single" w:sz="5" w:space="0" w:color="808080"/>
              <w:bottom w:val="single" w:sz="5" w:space="0" w:color="808080"/>
              <w:right w:val="single" w:sz="5" w:space="0" w:color="808080"/>
            </w:tcBorders>
            <w:shd w:val="clear" w:color="FFFFFF" w:fill="auto"/>
          </w:tcPr>
          <w:p w:rsidR="001B41C4" w:rsidRDefault="00243D40">
            <w:pPr>
              <w:jc w:val="both"/>
            </w:pPr>
            <w:r>
              <w:rPr>
                <w:szCs w:val="16"/>
              </w:rPr>
              <w:t>ОКПО 97 542 015</w:t>
            </w:r>
          </w:p>
        </w:tc>
      </w:tr>
      <w:tr w:rsidR="001B41C4">
        <w:tblPrEx>
          <w:tblCellMar>
            <w:top w:w="0" w:type="dxa"/>
            <w:left w:w="0" w:type="dxa"/>
            <w:bottom w:w="0" w:type="dxa"/>
            <w:right w:w="0" w:type="dxa"/>
          </w:tblCellMar>
        </w:tblPrEx>
        <w:trPr>
          <w:trHeight w:val="60"/>
        </w:trPr>
        <w:tc>
          <w:tcPr>
            <w:tcW w:w="4936" w:type="dxa"/>
            <w:gridSpan w:val="3"/>
            <w:tcBorders>
              <w:top w:val="single" w:sz="5" w:space="0" w:color="808080"/>
              <w:left w:val="single" w:sz="5" w:space="0" w:color="808080"/>
              <w:bottom w:val="single" w:sz="5" w:space="0" w:color="808080"/>
              <w:right w:val="single" w:sz="5" w:space="0" w:color="808080"/>
            </w:tcBorders>
            <w:shd w:val="clear" w:color="FFFFFF" w:fill="auto"/>
          </w:tcPr>
          <w:p w:rsidR="001B41C4" w:rsidRDefault="00243D40">
            <w:pPr>
              <w:jc w:val="both"/>
            </w:pPr>
            <w:r>
              <w:rPr>
                <w:szCs w:val="16"/>
              </w:rPr>
              <w:t>ИНН 1435028701 / КПП 140231001</w:t>
            </w:r>
          </w:p>
        </w:tc>
        <w:tc>
          <w:tcPr>
            <w:tcW w:w="4922" w:type="dxa"/>
            <w:gridSpan w:val="2"/>
            <w:tcBorders>
              <w:top w:val="single" w:sz="5" w:space="0" w:color="808080"/>
              <w:left w:val="single" w:sz="5" w:space="0" w:color="808080"/>
              <w:bottom w:val="single" w:sz="5" w:space="0" w:color="808080"/>
              <w:right w:val="single" w:sz="5" w:space="0" w:color="808080"/>
            </w:tcBorders>
            <w:shd w:val="clear" w:color="FFFFFF" w:fill="auto"/>
          </w:tcPr>
          <w:p w:rsidR="001B41C4" w:rsidRDefault="00243D40">
            <w:pPr>
              <w:jc w:val="both"/>
            </w:pPr>
            <w:r>
              <w:rPr>
                <w:szCs w:val="16"/>
              </w:rPr>
              <w:t>ИНН 2801108200 / КПП 140202001</w:t>
            </w:r>
          </w:p>
        </w:tc>
      </w:tr>
      <w:tr w:rsidR="001B41C4">
        <w:tblPrEx>
          <w:tblCellMar>
            <w:top w:w="0" w:type="dxa"/>
            <w:left w:w="0" w:type="dxa"/>
            <w:bottom w:w="0" w:type="dxa"/>
            <w:right w:w="0" w:type="dxa"/>
          </w:tblCellMar>
        </w:tblPrEx>
        <w:trPr>
          <w:trHeight w:val="60"/>
        </w:trPr>
        <w:tc>
          <w:tcPr>
            <w:tcW w:w="4936" w:type="dxa"/>
            <w:gridSpan w:val="3"/>
            <w:tcBorders>
              <w:top w:val="single" w:sz="5" w:space="0" w:color="808080"/>
              <w:left w:val="single" w:sz="5" w:space="0" w:color="808080"/>
              <w:right w:val="single" w:sz="5" w:space="0" w:color="808080"/>
            </w:tcBorders>
            <w:shd w:val="clear" w:color="FFFFFF" w:fill="auto"/>
          </w:tcPr>
          <w:p w:rsidR="001B41C4" w:rsidRDefault="00243D40">
            <w:pPr>
              <w:jc w:val="both"/>
            </w:pPr>
            <w:r>
              <w:rPr>
                <w:szCs w:val="16"/>
              </w:rPr>
              <w:t>Юридический адрес: 678900, Республика Саха /Якутия/, у Алданский, г Алдан, ул Линейная, дом № 2а</w:t>
            </w:r>
          </w:p>
        </w:tc>
        <w:tc>
          <w:tcPr>
            <w:tcW w:w="4922" w:type="dxa"/>
            <w:gridSpan w:val="2"/>
            <w:tcBorders>
              <w:top w:val="single" w:sz="5" w:space="0" w:color="808080"/>
              <w:left w:val="single" w:sz="5" w:space="0" w:color="808080"/>
              <w:right w:val="single" w:sz="5" w:space="0" w:color="808080"/>
            </w:tcBorders>
            <w:shd w:val="clear" w:color="FFFFFF" w:fill="auto"/>
          </w:tcPr>
          <w:p w:rsidR="001B41C4" w:rsidRDefault="00243D40">
            <w:pPr>
              <w:jc w:val="both"/>
            </w:pPr>
            <w:r>
              <w:rPr>
                <w:szCs w:val="16"/>
              </w:rPr>
              <w:t>Юридический адрес: 675000,Амурская область,г.Благовещенск,ул.Шевченко-28</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right w:val="single" w:sz="5" w:space="0" w:color="808080"/>
            </w:tcBorders>
            <w:shd w:val="clear" w:color="FFFFFF" w:fill="auto"/>
          </w:tcPr>
          <w:p w:rsidR="001B41C4" w:rsidRDefault="00243D40">
            <w:pPr>
              <w:jc w:val="both"/>
            </w:pPr>
            <w:r>
              <w:rPr>
                <w:szCs w:val="16"/>
              </w:rPr>
              <w:t>Фактический адрес: 678900, Республика Саха /Якутия/, у Алданский, г Алдан, ул Линейная, дом № 2а</w:t>
            </w:r>
          </w:p>
        </w:tc>
        <w:tc>
          <w:tcPr>
            <w:tcW w:w="4922" w:type="dxa"/>
            <w:gridSpan w:val="2"/>
            <w:tcBorders>
              <w:left w:val="single" w:sz="5" w:space="0" w:color="808080"/>
              <w:right w:val="single" w:sz="5" w:space="0" w:color="808080"/>
            </w:tcBorders>
            <w:shd w:val="clear" w:color="FFFFFF" w:fill="auto"/>
          </w:tcPr>
          <w:p w:rsidR="001B41C4" w:rsidRDefault="00243D40">
            <w:pPr>
              <w:jc w:val="both"/>
            </w:pPr>
            <w:r>
              <w:rPr>
                <w:szCs w:val="16"/>
              </w:rPr>
              <w:t xml:space="preserve">Фактический адрес: 678900, Респ Саха /Якутия/, у Алданский, г Алдан, ул Линейная, </w:t>
            </w:r>
            <w:r>
              <w:rPr>
                <w:szCs w:val="16"/>
              </w:rPr>
              <w:t>дом № 4</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right w:val="single" w:sz="5" w:space="0" w:color="808080"/>
            </w:tcBorders>
            <w:shd w:val="clear" w:color="FFFFFF" w:fill="auto"/>
          </w:tcPr>
          <w:p w:rsidR="001B41C4" w:rsidRDefault="00243D40">
            <w:pPr>
              <w:jc w:val="both"/>
            </w:pPr>
            <w:r>
              <w:rPr>
                <w:szCs w:val="16"/>
              </w:rPr>
              <w:t>Факс: +8411 (45) 3-09-02</w:t>
            </w:r>
          </w:p>
        </w:tc>
        <w:tc>
          <w:tcPr>
            <w:tcW w:w="4922" w:type="dxa"/>
            <w:gridSpan w:val="2"/>
            <w:tcBorders>
              <w:left w:val="single" w:sz="5" w:space="0" w:color="808080"/>
              <w:right w:val="single" w:sz="5" w:space="0" w:color="808080"/>
            </w:tcBorders>
            <w:shd w:val="clear" w:color="FFFFFF" w:fill="auto"/>
          </w:tcPr>
          <w:p w:rsidR="001B41C4" w:rsidRDefault="00243D40">
            <w:pPr>
              <w:jc w:val="both"/>
            </w:pPr>
            <w:r>
              <w:rPr>
                <w:szCs w:val="16"/>
              </w:rPr>
              <w:t>Факс:</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right w:val="single" w:sz="5" w:space="0" w:color="808080"/>
            </w:tcBorders>
            <w:shd w:val="clear" w:color="FFFFFF" w:fill="auto"/>
          </w:tcPr>
          <w:p w:rsidR="001B41C4" w:rsidRDefault="00243D40">
            <w:pPr>
              <w:jc w:val="both"/>
            </w:pPr>
            <w:r>
              <w:rPr>
                <w:szCs w:val="16"/>
              </w:rPr>
              <w:t>Тел.: +8411 (45) 36-1-52</w:t>
            </w:r>
          </w:p>
        </w:tc>
        <w:tc>
          <w:tcPr>
            <w:tcW w:w="4922" w:type="dxa"/>
            <w:gridSpan w:val="2"/>
            <w:tcBorders>
              <w:left w:val="single" w:sz="5" w:space="0" w:color="808080"/>
              <w:right w:val="single" w:sz="5" w:space="0" w:color="808080"/>
            </w:tcBorders>
            <w:shd w:val="clear" w:color="FFFFFF" w:fill="auto"/>
          </w:tcPr>
          <w:p w:rsidR="001B41C4" w:rsidRDefault="00243D40">
            <w:pPr>
              <w:jc w:val="both"/>
            </w:pPr>
            <w:r>
              <w:rPr>
                <w:szCs w:val="16"/>
              </w:rPr>
              <w:t>Тел.: 36-5-21 doc@aldan.drsk.ru</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bottom w:val="single" w:sz="5" w:space="0" w:color="808080"/>
              <w:right w:val="single" w:sz="5" w:space="0" w:color="808080"/>
            </w:tcBorders>
            <w:shd w:val="clear" w:color="FFFFFF" w:fill="auto"/>
          </w:tcPr>
          <w:p w:rsidR="001B41C4" w:rsidRPr="00DE0626" w:rsidRDefault="00243D40">
            <w:pPr>
              <w:jc w:val="both"/>
              <w:rPr>
                <w:lang w:val="en-US"/>
              </w:rPr>
            </w:pPr>
            <w:r w:rsidRPr="00DE0626">
              <w:rPr>
                <w:szCs w:val="16"/>
                <w:lang w:val="en-US"/>
              </w:rPr>
              <w:t>E-mail: aldan@watt.ru</w:t>
            </w:r>
          </w:p>
        </w:tc>
        <w:tc>
          <w:tcPr>
            <w:tcW w:w="4922" w:type="dxa"/>
            <w:gridSpan w:val="2"/>
            <w:tcBorders>
              <w:left w:val="single" w:sz="5" w:space="0" w:color="808080"/>
              <w:bottom w:val="single" w:sz="5" w:space="0" w:color="808080"/>
              <w:right w:val="single" w:sz="5" w:space="0" w:color="808080"/>
            </w:tcBorders>
            <w:shd w:val="clear" w:color="FFFFFF" w:fill="auto"/>
          </w:tcPr>
          <w:p w:rsidR="001B41C4" w:rsidRDefault="00243D40">
            <w:pPr>
              <w:jc w:val="both"/>
            </w:pPr>
            <w:r>
              <w:rPr>
                <w:szCs w:val="16"/>
              </w:rPr>
              <w:t>E-mail:</w:t>
            </w:r>
          </w:p>
        </w:tc>
      </w:tr>
      <w:tr w:rsidR="001B41C4">
        <w:tblPrEx>
          <w:tblCellMar>
            <w:top w:w="0" w:type="dxa"/>
            <w:left w:w="0" w:type="dxa"/>
            <w:bottom w:w="0" w:type="dxa"/>
            <w:right w:w="0" w:type="dxa"/>
          </w:tblCellMar>
        </w:tblPrEx>
        <w:trPr>
          <w:trHeight w:val="60"/>
        </w:trPr>
        <w:tc>
          <w:tcPr>
            <w:tcW w:w="4936" w:type="dxa"/>
            <w:gridSpan w:val="3"/>
            <w:tcBorders>
              <w:top w:val="single" w:sz="5" w:space="0" w:color="808080"/>
              <w:left w:val="single" w:sz="5" w:space="0" w:color="808080"/>
              <w:right w:val="single" w:sz="5" w:space="0" w:color="808080"/>
            </w:tcBorders>
            <w:shd w:val="clear" w:color="FFFFFF" w:fill="auto"/>
          </w:tcPr>
          <w:p w:rsidR="001B41C4" w:rsidRDefault="00243D40">
            <w:pPr>
              <w:jc w:val="both"/>
            </w:pPr>
            <w:r>
              <w:rPr>
                <w:szCs w:val="16"/>
              </w:rPr>
              <w:t>Банковские реквизиты:</w:t>
            </w:r>
          </w:p>
        </w:tc>
        <w:tc>
          <w:tcPr>
            <w:tcW w:w="4922" w:type="dxa"/>
            <w:gridSpan w:val="2"/>
            <w:tcBorders>
              <w:top w:val="single" w:sz="5" w:space="0" w:color="808080"/>
              <w:left w:val="single" w:sz="5" w:space="0" w:color="808080"/>
              <w:right w:val="single" w:sz="5" w:space="0" w:color="808080"/>
            </w:tcBorders>
            <w:shd w:val="clear" w:color="FFFFFF" w:fill="auto"/>
          </w:tcPr>
          <w:p w:rsidR="001B41C4" w:rsidRDefault="00243D40">
            <w:pPr>
              <w:jc w:val="both"/>
            </w:pPr>
            <w:r>
              <w:rPr>
                <w:szCs w:val="16"/>
              </w:rPr>
              <w:t>Банковские реквизиты:</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right w:val="single" w:sz="5" w:space="0" w:color="808080"/>
            </w:tcBorders>
            <w:shd w:val="clear" w:color="FFFFFF" w:fill="auto"/>
          </w:tcPr>
          <w:p w:rsidR="001B41C4" w:rsidRDefault="00243D40">
            <w:pPr>
              <w:jc w:val="both"/>
            </w:pPr>
            <w:r>
              <w:rPr>
                <w:szCs w:val="16"/>
              </w:rPr>
              <w:t>ЯКУТСКОЕ ОТДЕЛЕНИЕ №8603 ПАО СБЕРБАНК Г. ЯКУТСК</w:t>
            </w:r>
          </w:p>
        </w:tc>
        <w:tc>
          <w:tcPr>
            <w:tcW w:w="4922" w:type="dxa"/>
            <w:gridSpan w:val="2"/>
            <w:tcBorders>
              <w:left w:val="single" w:sz="5" w:space="0" w:color="808080"/>
              <w:right w:val="single" w:sz="5" w:space="0" w:color="808080"/>
            </w:tcBorders>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right w:val="single" w:sz="5" w:space="0" w:color="808080"/>
            </w:tcBorders>
            <w:shd w:val="clear" w:color="FFFFFF" w:fill="auto"/>
          </w:tcPr>
          <w:p w:rsidR="001B41C4" w:rsidRDefault="00243D40">
            <w:pPr>
              <w:jc w:val="both"/>
            </w:pPr>
            <w:r>
              <w:rPr>
                <w:szCs w:val="16"/>
              </w:rPr>
              <w:t>БИК 049805609</w:t>
            </w:r>
          </w:p>
        </w:tc>
        <w:tc>
          <w:tcPr>
            <w:tcW w:w="4922" w:type="dxa"/>
            <w:gridSpan w:val="2"/>
            <w:tcBorders>
              <w:left w:val="single" w:sz="5" w:space="0" w:color="808080"/>
              <w:right w:val="single" w:sz="5" w:space="0" w:color="808080"/>
            </w:tcBorders>
            <w:shd w:val="clear" w:color="FFFFFF" w:fill="auto"/>
          </w:tcPr>
          <w:p w:rsidR="001B41C4" w:rsidRDefault="00243D40">
            <w:pPr>
              <w:jc w:val="both"/>
            </w:pPr>
            <w:r>
              <w:rPr>
                <w:szCs w:val="16"/>
              </w:rPr>
              <w:t>БИК</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right w:val="single" w:sz="5" w:space="0" w:color="808080"/>
            </w:tcBorders>
            <w:shd w:val="clear" w:color="FFFFFF" w:fill="auto"/>
          </w:tcPr>
          <w:p w:rsidR="001B41C4" w:rsidRDefault="00243D40">
            <w:pPr>
              <w:jc w:val="both"/>
            </w:pPr>
            <w:r>
              <w:rPr>
                <w:szCs w:val="16"/>
              </w:rPr>
              <w:t xml:space="preserve">К/с </w:t>
            </w:r>
            <w:r>
              <w:rPr>
                <w:szCs w:val="16"/>
              </w:rPr>
              <w:t>30101810400000000609</w:t>
            </w:r>
          </w:p>
        </w:tc>
        <w:tc>
          <w:tcPr>
            <w:tcW w:w="4922" w:type="dxa"/>
            <w:gridSpan w:val="2"/>
            <w:tcBorders>
              <w:left w:val="single" w:sz="5" w:space="0" w:color="808080"/>
              <w:right w:val="single" w:sz="5" w:space="0" w:color="808080"/>
            </w:tcBorders>
            <w:shd w:val="clear" w:color="FFFFFF" w:fill="auto"/>
          </w:tcPr>
          <w:p w:rsidR="001B41C4" w:rsidRDefault="00243D40">
            <w:pPr>
              <w:jc w:val="both"/>
            </w:pPr>
            <w:r>
              <w:rPr>
                <w:szCs w:val="16"/>
              </w:rPr>
              <w:t>К/с</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bottom w:val="single" w:sz="5" w:space="0" w:color="808080"/>
              <w:right w:val="single" w:sz="5" w:space="0" w:color="808080"/>
            </w:tcBorders>
            <w:shd w:val="clear" w:color="FFFFFF" w:fill="auto"/>
          </w:tcPr>
          <w:p w:rsidR="001B41C4" w:rsidRDefault="00243D40">
            <w:pPr>
              <w:jc w:val="both"/>
            </w:pPr>
            <w:r>
              <w:rPr>
                <w:szCs w:val="16"/>
              </w:rPr>
              <w:t>Р/с 40702810176270000103</w:t>
            </w:r>
          </w:p>
        </w:tc>
        <w:tc>
          <w:tcPr>
            <w:tcW w:w="4922" w:type="dxa"/>
            <w:gridSpan w:val="2"/>
            <w:tcBorders>
              <w:left w:val="single" w:sz="5" w:space="0" w:color="808080"/>
              <w:bottom w:val="single" w:sz="5" w:space="0" w:color="808080"/>
              <w:right w:val="single" w:sz="5" w:space="0" w:color="808080"/>
            </w:tcBorders>
            <w:shd w:val="clear" w:color="FFFFFF" w:fill="auto"/>
          </w:tcPr>
          <w:p w:rsidR="001B41C4" w:rsidRDefault="00243D40">
            <w:pPr>
              <w:jc w:val="both"/>
            </w:pPr>
            <w:r>
              <w:rPr>
                <w:szCs w:val="16"/>
              </w:rPr>
              <w:t>Р/с</w:t>
            </w:r>
          </w:p>
        </w:tc>
      </w:tr>
      <w:tr w:rsidR="001B41C4">
        <w:tblPrEx>
          <w:tblCellMar>
            <w:top w:w="0" w:type="dxa"/>
            <w:left w:w="0" w:type="dxa"/>
            <w:bottom w:w="0" w:type="dxa"/>
            <w:right w:w="0" w:type="dxa"/>
          </w:tblCellMar>
        </w:tblPrEx>
        <w:trPr>
          <w:trHeight w:val="60"/>
        </w:trPr>
        <w:tc>
          <w:tcPr>
            <w:tcW w:w="4936" w:type="dxa"/>
            <w:gridSpan w:val="3"/>
            <w:tcBorders>
              <w:top w:val="single" w:sz="5" w:space="0" w:color="808080"/>
              <w:left w:val="single" w:sz="5" w:space="0" w:color="808080"/>
              <w:right w:val="single" w:sz="5" w:space="0" w:color="808080"/>
            </w:tcBorders>
            <w:shd w:val="clear" w:color="FFFFFF" w:fill="auto"/>
          </w:tcPr>
          <w:p w:rsidR="001B41C4" w:rsidRDefault="00243D40">
            <w:pPr>
              <w:jc w:val="both"/>
            </w:pPr>
            <w:r>
              <w:rPr>
                <w:szCs w:val="16"/>
              </w:rPr>
              <w:t>Начальник</w:t>
            </w:r>
          </w:p>
        </w:tc>
        <w:tc>
          <w:tcPr>
            <w:tcW w:w="4922" w:type="dxa"/>
            <w:gridSpan w:val="2"/>
            <w:tcBorders>
              <w:top w:val="single" w:sz="5" w:space="0" w:color="808080"/>
              <w:left w:val="single" w:sz="5" w:space="0" w:color="808080"/>
              <w:right w:val="single" w:sz="5" w:space="0" w:color="808080"/>
            </w:tcBorders>
            <w:shd w:val="clear" w:color="FFFFFF" w:fill="auto"/>
          </w:tcPr>
          <w:p w:rsidR="001B41C4" w:rsidRDefault="00243D40">
            <w:pPr>
              <w:jc w:val="both"/>
            </w:pPr>
            <w:r>
              <w:rPr>
                <w:szCs w:val="16"/>
              </w:rPr>
              <w:t>Директор филиала</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right w:val="single" w:sz="5" w:space="0" w:color="808080"/>
            </w:tcBorders>
            <w:shd w:val="clear" w:color="FFFFFF" w:fill="auto"/>
          </w:tcPr>
          <w:p w:rsidR="001B41C4" w:rsidRDefault="001B41C4">
            <w:pPr>
              <w:jc w:val="both"/>
            </w:pPr>
          </w:p>
        </w:tc>
        <w:tc>
          <w:tcPr>
            <w:tcW w:w="4922" w:type="dxa"/>
            <w:gridSpan w:val="2"/>
            <w:tcBorders>
              <w:left w:val="single" w:sz="5" w:space="0" w:color="808080"/>
              <w:right w:val="single" w:sz="5" w:space="0" w:color="808080"/>
            </w:tcBorders>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right w:val="single" w:sz="5" w:space="0" w:color="808080"/>
            </w:tcBorders>
            <w:shd w:val="clear" w:color="FFFFFF" w:fill="auto"/>
          </w:tcPr>
          <w:p w:rsidR="001B41C4" w:rsidRDefault="00243D40">
            <w:pPr>
              <w:jc w:val="both"/>
            </w:pPr>
            <w:r>
              <w:rPr>
                <w:szCs w:val="16"/>
              </w:rPr>
              <w:t>________________________________</w:t>
            </w:r>
          </w:p>
        </w:tc>
        <w:tc>
          <w:tcPr>
            <w:tcW w:w="4922" w:type="dxa"/>
            <w:gridSpan w:val="2"/>
            <w:tcBorders>
              <w:left w:val="single" w:sz="5" w:space="0" w:color="808080"/>
              <w:right w:val="single" w:sz="5" w:space="0" w:color="808080"/>
            </w:tcBorders>
            <w:shd w:val="clear" w:color="FFFFFF" w:fill="auto"/>
          </w:tcPr>
          <w:p w:rsidR="001B41C4" w:rsidRDefault="00243D40">
            <w:pPr>
              <w:jc w:val="both"/>
            </w:pPr>
            <w:r>
              <w:rPr>
                <w:szCs w:val="16"/>
              </w:rPr>
              <w:t>__________________________________</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right w:val="single" w:sz="5" w:space="0" w:color="808080"/>
            </w:tcBorders>
            <w:shd w:val="clear" w:color="FFFFFF" w:fill="auto"/>
          </w:tcPr>
          <w:p w:rsidR="001B41C4" w:rsidRDefault="00243D40">
            <w:pPr>
              <w:jc w:val="both"/>
            </w:pPr>
            <w:r>
              <w:rPr>
                <w:szCs w:val="16"/>
              </w:rPr>
              <w:t>Васина М. Л.</w:t>
            </w:r>
          </w:p>
        </w:tc>
        <w:tc>
          <w:tcPr>
            <w:tcW w:w="4922" w:type="dxa"/>
            <w:gridSpan w:val="2"/>
            <w:tcBorders>
              <w:left w:val="single" w:sz="5" w:space="0" w:color="808080"/>
              <w:right w:val="single" w:sz="5" w:space="0" w:color="808080"/>
            </w:tcBorders>
            <w:shd w:val="clear" w:color="FFFFFF" w:fill="auto"/>
          </w:tcPr>
          <w:p w:rsidR="001B41C4" w:rsidRDefault="00243D40">
            <w:pPr>
              <w:jc w:val="both"/>
            </w:pPr>
            <w:r>
              <w:rPr>
                <w:szCs w:val="16"/>
              </w:rPr>
              <w:t>Шкурко И. В.</w:t>
            </w:r>
          </w:p>
        </w:tc>
      </w:tr>
      <w:tr w:rsidR="001B41C4">
        <w:tblPrEx>
          <w:tblCellMar>
            <w:top w:w="0" w:type="dxa"/>
            <w:left w:w="0" w:type="dxa"/>
            <w:bottom w:w="0" w:type="dxa"/>
            <w:right w:w="0" w:type="dxa"/>
          </w:tblCellMar>
        </w:tblPrEx>
        <w:trPr>
          <w:trHeight w:val="60"/>
        </w:trPr>
        <w:tc>
          <w:tcPr>
            <w:tcW w:w="4936" w:type="dxa"/>
            <w:gridSpan w:val="3"/>
            <w:tcBorders>
              <w:left w:val="single" w:sz="5" w:space="0" w:color="808080"/>
              <w:bottom w:val="single" w:sz="5" w:space="0" w:color="808080"/>
              <w:right w:val="single" w:sz="5" w:space="0" w:color="808080"/>
            </w:tcBorders>
            <w:shd w:val="clear" w:color="FFFFFF" w:fill="auto"/>
          </w:tcPr>
          <w:p w:rsidR="001B41C4" w:rsidRDefault="00243D40">
            <w:pPr>
              <w:jc w:val="both"/>
            </w:pPr>
            <w:r>
              <w:rPr>
                <w:szCs w:val="16"/>
              </w:rPr>
              <w:t>М.П.</w:t>
            </w:r>
          </w:p>
        </w:tc>
        <w:tc>
          <w:tcPr>
            <w:tcW w:w="1089" w:type="dxa"/>
            <w:tcBorders>
              <w:left w:val="single" w:sz="5" w:space="0" w:color="808080"/>
              <w:bottom w:val="single" w:sz="5" w:space="0" w:color="808080"/>
            </w:tcBorders>
            <w:shd w:val="clear" w:color="FFFFFF" w:fill="auto"/>
          </w:tcPr>
          <w:p w:rsidR="001B41C4" w:rsidRDefault="001B41C4">
            <w:pPr>
              <w:jc w:val="both"/>
            </w:pPr>
          </w:p>
        </w:tc>
        <w:tc>
          <w:tcPr>
            <w:tcW w:w="3833" w:type="dxa"/>
            <w:tcBorders>
              <w:bottom w:val="single" w:sz="5" w:space="0" w:color="808080"/>
              <w:right w:val="single" w:sz="5" w:space="0" w:color="808080"/>
            </w:tcBorders>
            <w:shd w:val="clear" w:color="FFFFFF" w:fill="auto"/>
          </w:tcPr>
          <w:p w:rsidR="001B41C4" w:rsidRDefault="00243D40">
            <w:pPr>
              <w:jc w:val="both"/>
            </w:pPr>
            <w:r>
              <w:rPr>
                <w:szCs w:val="16"/>
              </w:rPr>
              <w:t>М.П.</w:t>
            </w: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r w:rsidR="001B41C4">
        <w:tblPrEx>
          <w:tblCellMar>
            <w:top w:w="0" w:type="dxa"/>
            <w:left w:w="0" w:type="dxa"/>
            <w:bottom w:w="0" w:type="dxa"/>
            <w:right w:w="0" w:type="dxa"/>
          </w:tblCellMar>
        </w:tblPrEx>
        <w:trPr>
          <w:trHeight w:val="60"/>
        </w:trPr>
        <w:tc>
          <w:tcPr>
            <w:tcW w:w="4936" w:type="dxa"/>
            <w:gridSpan w:val="3"/>
            <w:shd w:val="clear" w:color="FFFFFF" w:fill="auto"/>
          </w:tcPr>
          <w:p w:rsidR="001B41C4" w:rsidRDefault="001B41C4">
            <w:pPr>
              <w:jc w:val="both"/>
            </w:pPr>
          </w:p>
        </w:tc>
        <w:tc>
          <w:tcPr>
            <w:tcW w:w="1089" w:type="dxa"/>
            <w:shd w:val="clear" w:color="FFFFFF" w:fill="auto"/>
          </w:tcPr>
          <w:p w:rsidR="001B41C4" w:rsidRDefault="001B41C4">
            <w:pPr>
              <w:jc w:val="both"/>
            </w:pPr>
          </w:p>
        </w:tc>
        <w:tc>
          <w:tcPr>
            <w:tcW w:w="3833" w:type="dxa"/>
            <w:shd w:val="clear" w:color="FFFFFF" w:fill="auto"/>
          </w:tcPr>
          <w:p w:rsidR="001B41C4" w:rsidRDefault="001B41C4">
            <w:pPr>
              <w:jc w:val="both"/>
            </w:pPr>
          </w:p>
        </w:tc>
      </w:tr>
    </w:tbl>
    <w:p w:rsidR="00243D40" w:rsidRDefault="00243D40"/>
    <w:sectPr w:rsidR="00243D40">
      <w:footerReference w:type="default" r:id="rId7"/>
      <w:footerReference w:type="first" r:id="rId8"/>
      <w:pgSz w:w="11907" w:h="16839"/>
      <w:pgMar w:top="567" w:right="963" w:bottom="850" w:left="96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D40" w:rsidRDefault="00243D40">
      <w:pPr>
        <w:spacing w:after="0" w:line="240" w:lineRule="auto"/>
      </w:pPr>
      <w:r>
        <w:separator/>
      </w:r>
    </w:p>
  </w:endnote>
  <w:endnote w:type="continuationSeparator" w:id="0">
    <w:p w:rsidR="00243D40" w:rsidRDefault="00243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374199"/>
      <w:docPartObj>
        <w:docPartGallery w:val="Page Numbers (Top of Page)"/>
      </w:docPartObj>
    </w:sdtPr>
    <w:sdtEndPr/>
    <w:sdtContent>
      <w:p w:rsidR="001B41C4" w:rsidRDefault="00243D40">
        <w:r>
          <w:tab/>
        </w:r>
        <w:r>
          <w:rPr>
            <w:rFonts w:ascii="Arial Narrow" w:hAnsi="Arial Narrow"/>
            <w:i/>
            <w:sz w:val="18"/>
          </w:rPr>
          <w:t>Договор № 00025</w:t>
        </w:r>
        <w:r>
          <w:tab/>
        </w:r>
        <w:r>
          <w:ptab w:relativeTo="margin" w:alignment="center" w:leader="none"/>
        </w:r>
        <w:r>
          <w:rPr>
            <w:rFonts w:ascii="Arial Narrow" w:hAnsi="Arial Narrow"/>
            <w:i/>
            <w:sz w:val="18"/>
          </w:rPr>
          <w:t>..............................................................................................................................................................................................................................................</w:t>
        </w:r>
        <w:r>
          <w:tab/>
        </w:r>
        <w:r>
          <w:ptab w:relativeTo="margin" w:alignment="right" w:leader="none"/>
        </w:r>
        <w:r>
          <w:rPr>
            <w:rFonts w:ascii="Arial Narrow" w:hAnsi="Arial Narrow"/>
            <w:i/>
            <w:sz w:val="18"/>
          </w:rPr>
          <w:t>Стр.</w:t>
        </w:r>
        <w:r>
          <w:rPr>
            <w:rFonts w:ascii="Arial Narrow" w:hAnsi="Arial Narrow"/>
            <w:i/>
            <w:sz w:val="18"/>
          </w:rPr>
          <w:fldChar w:fldCharType="begin"/>
        </w:r>
        <w:r>
          <w:rPr>
            <w:rFonts w:ascii="Arial Narrow" w:hAnsi="Arial Narrow"/>
            <w:i/>
            <w:sz w:val="18"/>
          </w:rPr>
          <w:instrText>PAGE   \* ME</w:instrText>
        </w:r>
        <w:r>
          <w:rPr>
            <w:rFonts w:ascii="Arial Narrow" w:hAnsi="Arial Narrow"/>
            <w:i/>
            <w:sz w:val="18"/>
          </w:rPr>
          <w:instrText>RGEFORMAT</w:instrText>
        </w:r>
        <w:r w:rsidR="00DE0626">
          <w:rPr>
            <w:rFonts w:ascii="Arial Narrow" w:hAnsi="Arial Narrow"/>
            <w:i/>
            <w:sz w:val="18"/>
          </w:rPr>
          <w:fldChar w:fldCharType="separate"/>
        </w:r>
        <w:r w:rsidR="00DE0626">
          <w:rPr>
            <w:rFonts w:ascii="Arial Narrow" w:hAnsi="Arial Narrow"/>
            <w:i/>
            <w:noProof/>
            <w:sz w:val="18"/>
          </w:rPr>
          <w:t>7</w:t>
        </w:r>
        <w:r>
          <w:rPr>
            <w:rFonts w:ascii="Arial Narrow" w:hAnsi="Arial Narrow"/>
            <w:i/>
            <w:sz w:val="18"/>
          </w:rPr>
          <w:fldChar w:fldCharType="end"/>
        </w:r>
        <w:r>
          <w:rPr>
            <w:rFonts w:ascii="Arial Narrow" w:hAnsi="Arial Narrow"/>
            <w:i/>
            <w:sz w:val="18"/>
          </w:rPr>
          <w:t>из</w:t>
        </w:r>
        <w:r>
          <w:rPr>
            <w:rFonts w:ascii="Arial Narrow" w:hAnsi="Arial Narrow"/>
            <w:i/>
            <w:sz w:val="18"/>
          </w:rPr>
          <w:fldChar w:fldCharType="begin"/>
        </w:r>
        <w:r>
          <w:rPr>
            <w:rFonts w:ascii="Arial Narrow" w:hAnsi="Arial Narrow"/>
            <w:i/>
            <w:sz w:val="18"/>
          </w:rPr>
          <w:instrText>NUMPAGES   \* MERGEFORMAT</w:instrText>
        </w:r>
        <w:r w:rsidR="00DE0626">
          <w:rPr>
            <w:rFonts w:ascii="Arial Narrow" w:hAnsi="Arial Narrow"/>
            <w:i/>
            <w:sz w:val="18"/>
          </w:rPr>
          <w:fldChar w:fldCharType="separate"/>
        </w:r>
        <w:r w:rsidR="00DE0626">
          <w:rPr>
            <w:rFonts w:ascii="Arial Narrow" w:hAnsi="Arial Narrow"/>
            <w:i/>
            <w:noProof/>
            <w:sz w:val="18"/>
          </w:rPr>
          <w:t>8</w:t>
        </w:r>
        <w:r>
          <w:rPr>
            <w:rFonts w:ascii="Arial Narrow" w:hAnsi="Arial Narrow"/>
            <w:i/>
            <w:sz w:val="18"/>
          </w:rPr>
          <w:fldChar w:fldCharType="end"/>
        </w:r>
      </w:p>
    </w:sdtContent>
  </w:sdt>
  <w:p w:rsidR="001B41C4" w:rsidRDefault="001B41C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1521549"/>
      <w:docPartObj>
        <w:docPartGallery w:val="Page Numbers (Top of Page)"/>
      </w:docPartObj>
    </w:sdtPr>
    <w:sdtEndPr/>
    <w:sdtContent>
      <w:p w:rsidR="001B41C4" w:rsidRDefault="00243D40">
        <w:r>
          <w:tab/>
        </w:r>
        <w:r>
          <w:rPr>
            <w:rFonts w:ascii="Arial Narrow" w:hAnsi="Arial Narrow"/>
            <w:i/>
            <w:sz w:val="18"/>
          </w:rPr>
          <w:t>Договор № 00025</w:t>
        </w:r>
        <w:r>
          <w:tab/>
        </w:r>
        <w:r>
          <w:ptab w:relativeTo="margin" w:alignment="center" w:leader="none"/>
        </w:r>
        <w:r>
          <w:rPr>
            <w:rFonts w:ascii="Arial Narrow" w:hAnsi="Arial Narrow"/>
            <w:i/>
            <w:sz w:val="18"/>
          </w:rPr>
          <w:t>..................................................................................................................................................................................................</w:t>
        </w:r>
        <w:r>
          <w:rPr>
            <w:rFonts w:ascii="Arial Narrow" w:hAnsi="Arial Narrow"/>
            <w:i/>
            <w:sz w:val="18"/>
          </w:rPr>
          <w:t>............................................</w:t>
        </w:r>
        <w:r>
          <w:tab/>
        </w:r>
        <w:r>
          <w:ptab w:relativeTo="margin" w:alignment="right" w:leader="none"/>
        </w:r>
        <w:r>
          <w:rPr>
            <w:rFonts w:ascii="Arial Narrow" w:hAnsi="Arial Narrow"/>
            <w:i/>
            <w:sz w:val="18"/>
          </w:rPr>
          <w:t>Стр.</w:t>
        </w:r>
        <w:r>
          <w:rPr>
            <w:rFonts w:ascii="Arial Narrow" w:hAnsi="Arial Narrow"/>
            <w:i/>
            <w:sz w:val="18"/>
          </w:rPr>
          <w:fldChar w:fldCharType="begin"/>
        </w:r>
        <w:r>
          <w:rPr>
            <w:rFonts w:ascii="Arial Narrow" w:hAnsi="Arial Narrow"/>
            <w:i/>
            <w:sz w:val="18"/>
          </w:rPr>
          <w:instrText>PAGE   \* MERGEFORMAT</w:instrText>
        </w:r>
        <w:r>
          <w:rPr>
            <w:rFonts w:ascii="Arial Narrow" w:hAnsi="Arial Narrow"/>
            <w:i/>
            <w:sz w:val="18"/>
          </w:rPr>
          <w:fldChar w:fldCharType="end"/>
        </w:r>
        <w:r>
          <w:rPr>
            <w:rFonts w:ascii="Arial Narrow" w:hAnsi="Arial Narrow"/>
            <w:i/>
            <w:sz w:val="18"/>
          </w:rPr>
          <w:t>из</w:t>
        </w:r>
        <w:r>
          <w:rPr>
            <w:rFonts w:ascii="Arial Narrow" w:hAnsi="Arial Narrow"/>
            <w:i/>
            <w:sz w:val="18"/>
          </w:rPr>
          <w:fldChar w:fldCharType="begin"/>
        </w:r>
        <w:r>
          <w:rPr>
            <w:rFonts w:ascii="Arial Narrow" w:hAnsi="Arial Narrow"/>
            <w:i/>
            <w:sz w:val="18"/>
          </w:rPr>
          <w:instrText>NUMPAGES   \* MERGEFORMAT</w:instrText>
        </w:r>
        <w:r>
          <w:rPr>
            <w:rFonts w:ascii="Arial Narrow" w:hAnsi="Arial Narrow"/>
            <w:i/>
            <w:sz w:val="18"/>
          </w:rPr>
          <w:fldChar w:fldCharType="end"/>
        </w:r>
      </w:p>
    </w:sdtContent>
  </w:sdt>
  <w:p w:rsidR="001B41C4" w:rsidRDefault="001B41C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D40" w:rsidRDefault="00243D40">
      <w:pPr>
        <w:spacing w:after="0" w:line="240" w:lineRule="auto"/>
      </w:pPr>
      <w:r>
        <w:separator/>
      </w:r>
    </w:p>
  </w:footnote>
  <w:footnote w:type="continuationSeparator" w:id="0">
    <w:p w:rsidR="00243D40" w:rsidRDefault="00243D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F57998"/>
    <w:multiLevelType w:val="hybridMultilevel"/>
    <w:tmpl w:val="498CE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B41C4"/>
    <w:rsid w:val="001B41C4"/>
    <w:rsid w:val="00243D40"/>
    <w:rsid w:val="00DE0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DF2B93-8EFF-4D17-AF66-9C4272EC3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pPr>
      <w:spacing w:after="0" w:line="240" w:lineRule="auto"/>
    </w:pPr>
    <w:rPr>
      <w:rFonts w:ascii="Arial" w:hAnsi="Arial"/>
      <w:sz w:val="16"/>
    </w:rPr>
    <w:tblPr>
      <w:tblCellMar>
        <w:top w:w="0" w:type="dxa"/>
        <w:left w:w="0" w:type="dxa"/>
        <w:bottom w:w="0" w:type="dxa"/>
        <w:right w:w="0" w:type="dxa"/>
      </w:tblCellMar>
    </w:tblPr>
  </w:style>
  <w:style w:type="paragraph" w:styleId="a3">
    <w:name w:val="footer"/>
  </w:style>
  <w:style w:type="paragraph" w:styleId="a4">
    <w:name w:val="List Paragraph"/>
    <w:basedOn w:val="a"/>
    <w:uiPriority w:val="34"/>
    <w:qFormat/>
    <w:rsid w:val="00DE06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7407</Words>
  <Characters>42224</Characters>
  <Application>Microsoft Office Word</Application>
  <DocSecurity>0</DocSecurity>
  <Lines>351</Lines>
  <Paragraphs>99</Paragraphs>
  <ScaleCrop>false</ScaleCrop>
  <Company/>
  <LinksUpToDate>false</LinksUpToDate>
  <CharactersWithSpaces>49532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Козлова Анна Романовна</cp:lastModifiedBy>
  <cp:revision>2</cp:revision>
  <dcterms:created xsi:type="dcterms:W3CDTF">2017-11-13T04:41:00Z</dcterms:created>
  <dcterms:modified xsi:type="dcterms:W3CDTF">2017-11-13T04:44:00Z</dcterms:modified>
</cp:coreProperties>
</file>