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Pr="001E6377" w:rsidRDefault="00C16F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6F98">
        <w:rPr>
          <w:rFonts w:ascii="Times New Roman" w:hAnsi="Times New Roman" w:cs="Times New Roman"/>
          <w:b/>
          <w:sz w:val="24"/>
          <w:szCs w:val="24"/>
        </w:rPr>
        <w:t xml:space="preserve">Мероприятия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Pr="00C16F98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C16F98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512B37" w:rsidRPr="001E637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Pr="001E6377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671258" w:rsidRPr="000B505A">
        <w:rPr>
          <w:rFonts w:ascii="Times New Roman" w:hAnsi="Times New Roman" w:cs="Times New Roman"/>
          <w:sz w:val="22"/>
          <w:szCs w:val="22"/>
        </w:rPr>
        <w:t xml:space="preserve">мероприятия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="00671258" w:rsidRPr="000B505A">
        <w:rPr>
          <w:rFonts w:ascii="Times New Roman" w:hAnsi="Times New Roman" w:cs="Times New Roman"/>
          <w:sz w:val="22"/>
          <w:szCs w:val="22"/>
        </w:rPr>
        <w:t>предпроектные</w:t>
      </w:r>
      <w:proofErr w:type="spellEnd"/>
      <w:r w:rsidR="00671258" w:rsidRPr="000B505A">
        <w:rPr>
          <w:rFonts w:ascii="Times New Roman" w:hAnsi="Times New Roman" w:cs="Times New Roman"/>
          <w:sz w:val="22"/>
          <w:szCs w:val="22"/>
        </w:rPr>
        <w:t xml:space="preserve"> работы) для нужд филиала ХЭС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660931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C16F98">
        <w:rPr>
          <w:color w:val="000000"/>
          <w:sz w:val="22"/>
          <w:szCs w:val="22"/>
        </w:rPr>
        <w:t>9</w:t>
      </w:r>
      <w:r w:rsidR="001C5FCD">
        <w:rPr>
          <w:color w:val="000000"/>
          <w:sz w:val="22"/>
          <w:szCs w:val="22"/>
        </w:rPr>
        <w:t> 500 000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482434">
        <w:rPr>
          <w:color w:val="000000"/>
          <w:sz w:val="22"/>
          <w:szCs w:val="22"/>
        </w:rPr>
        <w:t>Девять</w:t>
      </w:r>
      <w:r w:rsidR="001C5FCD">
        <w:rPr>
          <w:color w:val="000000"/>
          <w:sz w:val="22"/>
          <w:szCs w:val="22"/>
        </w:rPr>
        <w:t xml:space="preserve"> миллионов пятьсот тысяч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637902" w:rsidRPr="001E6377">
        <w:rPr>
          <w:sz w:val="22"/>
          <w:szCs w:val="22"/>
        </w:rPr>
        <w:t>к</w:t>
      </w:r>
      <w:r w:rsidR="00BB294F" w:rsidRPr="001E6377">
        <w:rPr>
          <w:sz w:val="22"/>
          <w:szCs w:val="22"/>
        </w:rPr>
        <w:t>роме того, НДС 18%</w:t>
      </w:r>
      <w:r w:rsidR="00BB294F" w:rsidRPr="001E6377">
        <w:rPr>
          <w:color w:val="000000"/>
          <w:sz w:val="22"/>
          <w:szCs w:val="22"/>
        </w:rPr>
        <w:t xml:space="preserve"> </w:t>
      </w:r>
      <w:r w:rsidR="00482434">
        <w:rPr>
          <w:color w:val="000000"/>
          <w:sz w:val="22"/>
          <w:szCs w:val="22"/>
        </w:rPr>
        <w:t xml:space="preserve"> 1 710 000 </w:t>
      </w:r>
      <w:r w:rsidR="00BB294F" w:rsidRPr="001E6377">
        <w:rPr>
          <w:color w:val="000000"/>
          <w:sz w:val="22"/>
          <w:szCs w:val="22"/>
        </w:rPr>
        <w:t>(</w:t>
      </w:r>
      <w:r w:rsidR="00482434">
        <w:rPr>
          <w:color w:val="000000"/>
          <w:sz w:val="22"/>
          <w:szCs w:val="22"/>
        </w:rPr>
        <w:t>Один миллион семьсот десять тысяч</w:t>
      </w:r>
      <w:r w:rsidR="00BB294F" w:rsidRPr="001E6377">
        <w:rPr>
          <w:color w:val="000000"/>
          <w:sz w:val="22"/>
          <w:szCs w:val="22"/>
        </w:rPr>
        <w:t xml:space="preserve">) руб. </w:t>
      </w:r>
      <w:r w:rsidR="00482434">
        <w:rPr>
          <w:color w:val="000000"/>
          <w:sz w:val="22"/>
          <w:szCs w:val="22"/>
        </w:rPr>
        <w:t>00</w:t>
      </w:r>
      <w:r w:rsidR="00BB294F" w:rsidRPr="001E6377">
        <w:rPr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Всего: </w:t>
      </w:r>
      <w:r w:rsidR="00482434">
        <w:rPr>
          <w:sz w:val="22"/>
          <w:szCs w:val="22"/>
        </w:rPr>
        <w:t>11 210 000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482434">
        <w:rPr>
          <w:bCs/>
          <w:color w:val="000000"/>
          <w:sz w:val="22"/>
          <w:szCs w:val="22"/>
        </w:rPr>
        <w:t>Одиннадцать миллионов двести десять 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 </w:t>
      </w:r>
    </w:p>
    <w:p w:rsidR="00BC3C42" w:rsidRDefault="00660931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color w:val="000000" w:themeColor="text1"/>
          <w:sz w:val="22"/>
          <w:szCs w:val="22"/>
        </w:rPr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 сводной таблице единичных расценок (Приложение № 2) к настоящему договору. </w:t>
      </w:r>
    </w:p>
    <w:p w:rsidR="00BC3C42" w:rsidRPr="00BC3C42" w:rsidRDefault="00BC3C42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BC3C42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BC3C42">
        <w:rPr>
          <w:sz w:val="22"/>
          <w:szCs w:val="22"/>
        </w:rPr>
        <w:t>основанием</w:t>
      </w:r>
      <w:proofErr w:type="gramEnd"/>
      <w:r w:rsidRPr="00BC3C42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1C5FCD" w:rsidRPr="00660931">
        <w:rPr>
          <w:sz w:val="22"/>
          <w:szCs w:val="22"/>
        </w:rPr>
        <w:t>ы</w:t>
      </w:r>
      <w:r w:rsidR="003F50F0" w:rsidRPr="00660931">
        <w:rPr>
          <w:sz w:val="22"/>
          <w:szCs w:val="22"/>
        </w:rPr>
        <w:t xml:space="preserve">м </w:t>
      </w:r>
      <w:r w:rsidR="00081740" w:rsidRPr="00660931">
        <w:rPr>
          <w:sz w:val="22"/>
          <w:szCs w:val="22"/>
        </w:rPr>
        <w:t>локальной смет</w:t>
      </w:r>
      <w:r w:rsidR="003F50F0" w:rsidRPr="00660931">
        <w:rPr>
          <w:sz w:val="22"/>
          <w:szCs w:val="22"/>
        </w:rPr>
        <w:t>ой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3260F3">
        <w:rPr>
          <w:sz w:val="22"/>
          <w:szCs w:val="22"/>
        </w:rPr>
        <w:t>с даты</w:t>
      </w:r>
      <w:proofErr w:type="gramEnd"/>
      <w:r w:rsidRPr="003260F3">
        <w:rPr>
          <w:sz w:val="22"/>
          <w:szCs w:val="22"/>
        </w:rPr>
        <w:t xml:space="preserve"> фактического получения счета Заказчиком.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F4791F">
        <w:rPr>
          <w:rFonts w:ascii="Times New Roman" w:hAnsi="Times New Roman" w:cs="Times New Roman"/>
          <w:b/>
          <w:sz w:val="22"/>
          <w:szCs w:val="22"/>
        </w:rPr>
        <w:t>8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, акт сдачи-приемки выполненных работ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12B37" w:rsidRPr="001E6377" w:rsidRDefault="00512B37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12B37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E6377">
        <w:rPr>
          <w:sz w:val="22"/>
          <w:szCs w:val="22"/>
        </w:rPr>
        <w:t xml:space="preserve"> и </w:t>
      </w:r>
      <w:r w:rsidR="00710D6C">
        <w:rPr>
          <w:sz w:val="22"/>
          <w:szCs w:val="22"/>
        </w:rPr>
        <w:t>Т</w:t>
      </w:r>
      <w:r w:rsidR="00DA4685" w:rsidRPr="001E6377">
        <w:rPr>
          <w:sz w:val="22"/>
          <w:szCs w:val="22"/>
        </w:rPr>
        <w:t>ехническом задании</w:t>
      </w:r>
      <w:r w:rsidRPr="001E6377">
        <w:rPr>
          <w:sz w:val="22"/>
          <w:szCs w:val="22"/>
        </w:rPr>
        <w:t>.</w:t>
      </w:r>
    </w:p>
    <w:p w:rsidR="00D20E4B" w:rsidRPr="001E6377" w:rsidRDefault="00512B37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В случа</w:t>
      </w:r>
      <w:r w:rsidR="00306D65" w:rsidRPr="001E6377">
        <w:rPr>
          <w:rFonts w:ascii="Times New Roman" w:hAnsi="Times New Roman" w:cs="Times New Roman"/>
          <w:sz w:val="22"/>
          <w:szCs w:val="22"/>
        </w:rPr>
        <w:t>е</w:t>
      </w:r>
      <w:r w:rsidRPr="001E637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1E637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1E637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В случае если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ся</w:t>
      </w:r>
      <w:r w:rsidR="00AA2CBE" w:rsidRPr="001E637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са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1E6377">
        <w:rPr>
          <w:rFonts w:ascii="Times New Roman" w:hAnsi="Times New Roman" w:cs="Times New Roman"/>
          <w:sz w:val="22"/>
          <w:szCs w:val="22"/>
        </w:rPr>
        <w:t>,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z w:val="22"/>
          <w:szCs w:val="22"/>
        </w:rPr>
        <w:t>ака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z w:val="22"/>
          <w:szCs w:val="22"/>
        </w:rPr>
        <w:t>ик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са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ь</w:t>
      </w:r>
      <w:r w:rsidR="00AA2CBE" w:rsidRPr="001E637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го</w:t>
      </w:r>
      <w:r w:rsidR="00AA2CBE" w:rsidRPr="001E637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м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ке,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z w:val="22"/>
          <w:szCs w:val="22"/>
        </w:rPr>
        <w:t>ка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1E6377">
        <w:rPr>
          <w:rFonts w:ascii="Times New Roman" w:hAnsi="Times New Roman" w:cs="Times New Roman"/>
          <w:sz w:val="22"/>
          <w:szCs w:val="22"/>
        </w:rPr>
        <w:t>й</w:t>
      </w:r>
      <w:r w:rsidR="00AA2CBE" w:rsidRPr="001E637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ет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жа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м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1E6377">
        <w:rPr>
          <w:rFonts w:ascii="Times New Roman" w:hAnsi="Times New Roman" w:cs="Times New Roman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ку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й</w:t>
      </w:r>
      <w:r w:rsidR="004429BB" w:rsidRPr="001E6377">
        <w:rPr>
          <w:rFonts w:ascii="Times New Roman" w:hAnsi="Times New Roman" w:cs="Times New Roman"/>
          <w:sz w:val="22"/>
          <w:szCs w:val="22"/>
        </w:rPr>
        <w:t>.</w:t>
      </w:r>
    </w:p>
    <w:p w:rsidR="00D20E4B" w:rsidRPr="001E6377" w:rsidRDefault="00D20E4B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E6377" w:rsidRDefault="00512B37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E637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1E6377">
        <w:rPr>
          <w:rFonts w:ascii="Times New Roman" w:hAnsi="Times New Roman" w:cs="Times New Roman"/>
          <w:sz w:val="22"/>
          <w:szCs w:val="22"/>
        </w:rPr>
        <w:t>.</w:t>
      </w:r>
      <w:r w:rsidR="00A8640D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22B17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E6377">
        <w:rPr>
          <w:sz w:val="22"/>
          <w:szCs w:val="22"/>
        </w:rPr>
        <w:t xml:space="preserve">сдачи-приемки </w:t>
      </w:r>
      <w:r w:rsidRPr="001E6377">
        <w:rPr>
          <w:sz w:val="22"/>
          <w:szCs w:val="22"/>
        </w:rPr>
        <w:t>выполненных работ и направляет его Подрядчику для выставления счета</w:t>
      </w:r>
      <w:r w:rsidR="00DF6FCE" w:rsidRPr="001E6377">
        <w:rPr>
          <w:sz w:val="22"/>
          <w:szCs w:val="22"/>
        </w:rPr>
        <w:t>-фактуры</w:t>
      </w:r>
      <w:r w:rsidRPr="001E6377">
        <w:rPr>
          <w:sz w:val="22"/>
          <w:szCs w:val="22"/>
        </w:rPr>
        <w:t xml:space="preserve"> на оплату.</w:t>
      </w:r>
    </w:p>
    <w:p w:rsidR="00B55F85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E6377">
        <w:rPr>
          <w:sz w:val="22"/>
          <w:szCs w:val="22"/>
        </w:rPr>
        <w:t xml:space="preserve">выполненных </w:t>
      </w:r>
      <w:r w:rsidRPr="001E6377">
        <w:rPr>
          <w:sz w:val="22"/>
          <w:szCs w:val="22"/>
        </w:rPr>
        <w:t>работ по этапу.</w:t>
      </w:r>
    </w:p>
    <w:p w:rsidR="00B55F85" w:rsidRPr="001E6377" w:rsidRDefault="00B55F85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1E6377">
        <w:rPr>
          <w:sz w:val="22"/>
          <w:szCs w:val="22"/>
        </w:rPr>
        <w:t xml:space="preserve">подписания акта сдачи-приемки выполненных работ </w:t>
      </w:r>
      <w:r w:rsidR="00F2545F" w:rsidRPr="001E6377">
        <w:rPr>
          <w:sz w:val="22"/>
          <w:szCs w:val="22"/>
        </w:rPr>
        <w:t>разработанной</w:t>
      </w:r>
      <w:r w:rsidRPr="001E6377">
        <w:rPr>
          <w:sz w:val="22"/>
          <w:szCs w:val="22"/>
        </w:rPr>
        <w:t xml:space="preserve"> документации</w:t>
      </w:r>
      <w:proofErr w:type="gramEnd"/>
      <w:r w:rsidR="0065134C">
        <w:rPr>
          <w:sz w:val="22"/>
          <w:szCs w:val="22"/>
        </w:rPr>
        <w:t xml:space="preserve"> в объеме, предусмотренным техническим заданием и сметным расчетом</w:t>
      </w:r>
      <w:r w:rsidRPr="001E6377">
        <w:rPr>
          <w:sz w:val="22"/>
          <w:szCs w:val="22"/>
        </w:rPr>
        <w:t>.</w:t>
      </w:r>
    </w:p>
    <w:p w:rsidR="00512B37" w:rsidRPr="001E637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досрочного выполнения работ, Заказчик вправе досрочно принять и оплатить работы.</w:t>
      </w:r>
    </w:p>
    <w:p w:rsidR="000D6A7F" w:rsidRPr="001E6377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b w:val="0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1E6377">
        <w:rPr>
          <w:b w:val="0"/>
          <w:sz w:val="22"/>
          <w:szCs w:val="22"/>
        </w:rPr>
        <w:t xml:space="preserve"> договору осуществляет  филиал </w:t>
      </w:r>
      <w:r w:rsidRPr="001E6377">
        <w:rPr>
          <w:b w:val="0"/>
          <w:sz w:val="22"/>
          <w:szCs w:val="22"/>
        </w:rPr>
        <w:t>АО «Д</w:t>
      </w:r>
      <w:r w:rsidR="00AF1C68" w:rsidRPr="001E6377">
        <w:rPr>
          <w:b w:val="0"/>
          <w:sz w:val="22"/>
          <w:szCs w:val="22"/>
        </w:rPr>
        <w:t>РСК</w:t>
      </w:r>
      <w:proofErr w:type="gramStart"/>
      <w:r w:rsidR="00AF1C68" w:rsidRPr="001E6377">
        <w:rPr>
          <w:b w:val="0"/>
          <w:sz w:val="22"/>
          <w:szCs w:val="22"/>
        </w:rPr>
        <w:t>»</w:t>
      </w:r>
      <w:r w:rsidR="00803EA8" w:rsidRPr="001E6377">
        <w:rPr>
          <w:b w:val="0"/>
          <w:sz w:val="22"/>
          <w:szCs w:val="22"/>
        </w:rPr>
        <w:t>«</w:t>
      </w:r>
      <w:proofErr w:type="gramEnd"/>
      <w:r w:rsidR="00803EA8" w:rsidRPr="001E6377">
        <w:rPr>
          <w:b w:val="0"/>
          <w:sz w:val="22"/>
          <w:szCs w:val="22"/>
        </w:rPr>
        <w:t>ХЭС»</w:t>
      </w:r>
      <w:r w:rsidR="00F94E62">
        <w:rPr>
          <w:b w:val="0"/>
          <w:sz w:val="22"/>
          <w:szCs w:val="22"/>
        </w:rPr>
        <w:t>,</w:t>
      </w:r>
      <w:r w:rsidR="00D22B17" w:rsidRPr="001E6377">
        <w:rPr>
          <w:b w:val="0"/>
          <w:sz w:val="22"/>
          <w:szCs w:val="22"/>
        </w:rPr>
        <w:t xml:space="preserve"> </w:t>
      </w:r>
      <w:r w:rsidRPr="001E6377">
        <w:rPr>
          <w:b w:val="0"/>
          <w:sz w:val="22"/>
          <w:szCs w:val="22"/>
        </w:rPr>
        <w:t xml:space="preserve">расположенный по адресу: </w:t>
      </w:r>
      <w:r w:rsidR="00803EA8" w:rsidRPr="001E6377">
        <w:rPr>
          <w:b w:val="0"/>
          <w:sz w:val="22"/>
          <w:szCs w:val="22"/>
        </w:rPr>
        <w:t>г. Хабаровск, ул. Промышленная, д. 13</w:t>
      </w:r>
      <w:r w:rsidRPr="001E6377">
        <w:rPr>
          <w:b w:val="0"/>
          <w:sz w:val="22"/>
          <w:szCs w:val="22"/>
        </w:rPr>
        <w:t>,</w:t>
      </w:r>
      <w:r w:rsidR="00632486" w:rsidRPr="001E6377">
        <w:rPr>
          <w:b w:val="0"/>
          <w:sz w:val="22"/>
          <w:szCs w:val="22"/>
        </w:rPr>
        <w:t xml:space="preserve"> ИНН/КПП 2801108200/280150001,</w:t>
      </w:r>
      <w:r w:rsidRPr="001E6377">
        <w:rPr>
          <w:b w:val="0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E6377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2"/>
          <w:szCs w:val="22"/>
        </w:rPr>
      </w:pPr>
      <w:r w:rsidRPr="001E6377">
        <w:rPr>
          <w:b w:val="0"/>
          <w:sz w:val="22"/>
          <w:szCs w:val="22"/>
        </w:rPr>
        <w:t xml:space="preserve">Акты </w:t>
      </w:r>
      <w:r w:rsidR="00413C8A" w:rsidRPr="001E6377">
        <w:rPr>
          <w:b w:val="0"/>
          <w:sz w:val="22"/>
          <w:szCs w:val="22"/>
        </w:rPr>
        <w:t>сдачи-</w:t>
      </w:r>
      <w:r w:rsidRPr="001E6377">
        <w:rPr>
          <w:b w:val="0"/>
          <w:sz w:val="22"/>
          <w:szCs w:val="22"/>
        </w:rPr>
        <w:t xml:space="preserve">приемки выполненных работ и счета-фактуры </w:t>
      </w:r>
      <w:r w:rsidR="000D6A7F" w:rsidRPr="001E6377">
        <w:rPr>
          <w:b w:val="0"/>
          <w:sz w:val="22"/>
          <w:szCs w:val="22"/>
        </w:rPr>
        <w:t>н</w:t>
      </w:r>
      <w:r w:rsidRPr="001E6377">
        <w:rPr>
          <w:b w:val="0"/>
          <w:sz w:val="22"/>
          <w:szCs w:val="22"/>
        </w:rPr>
        <w:t>аправляются в адрес филиала</w:t>
      </w:r>
      <w:r w:rsidR="00CA39F7" w:rsidRPr="001E6377">
        <w:rPr>
          <w:b w:val="0"/>
          <w:sz w:val="22"/>
          <w:szCs w:val="22"/>
        </w:rPr>
        <w:t xml:space="preserve"> </w:t>
      </w:r>
      <w:r w:rsidR="00E11BE1" w:rsidRPr="001E6377">
        <w:rPr>
          <w:b w:val="0"/>
          <w:sz w:val="22"/>
          <w:szCs w:val="22"/>
        </w:rPr>
        <w:t>АО «Д</w:t>
      </w:r>
      <w:r w:rsidR="00655DCB" w:rsidRPr="001E6377">
        <w:rPr>
          <w:b w:val="0"/>
          <w:sz w:val="22"/>
          <w:szCs w:val="22"/>
        </w:rPr>
        <w:t>РСК</w:t>
      </w:r>
      <w:proofErr w:type="gramStart"/>
      <w:r w:rsidR="00655DCB" w:rsidRPr="001E6377">
        <w:rPr>
          <w:b w:val="0"/>
          <w:sz w:val="22"/>
          <w:szCs w:val="22"/>
        </w:rPr>
        <w:t>»</w:t>
      </w:r>
      <w:r w:rsidR="00E11BE1" w:rsidRPr="001E6377">
        <w:rPr>
          <w:b w:val="0"/>
          <w:sz w:val="22"/>
          <w:szCs w:val="22"/>
        </w:rPr>
        <w:t>«</w:t>
      </w:r>
      <w:proofErr w:type="gramEnd"/>
      <w:r w:rsidR="00E11BE1" w:rsidRPr="001E6377">
        <w:rPr>
          <w:b w:val="0"/>
          <w:sz w:val="22"/>
          <w:szCs w:val="22"/>
        </w:rPr>
        <w:t>ХЭС»</w:t>
      </w:r>
      <w:r w:rsidRPr="001E6377">
        <w:rPr>
          <w:b w:val="0"/>
          <w:sz w:val="22"/>
          <w:szCs w:val="22"/>
        </w:rPr>
        <w:t>.</w:t>
      </w:r>
      <w:r w:rsidR="00A8640D" w:rsidRPr="001E6377">
        <w:rPr>
          <w:b w:val="0"/>
          <w:sz w:val="22"/>
          <w:szCs w:val="22"/>
        </w:rPr>
        <w:t xml:space="preserve"> </w:t>
      </w:r>
      <w:r w:rsidR="00617218" w:rsidRPr="001E6377">
        <w:rPr>
          <w:b w:val="0"/>
          <w:sz w:val="22"/>
          <w:szCs w:val="22"/>
        </w:rPr>
        <w:t xml:space="preserve"> </w:t>
      </w:r>
    </w:p>
    <w:p w:rsidR="00AA2CBE" w:rsidRPr="001E6377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2"/>
          <w:szCs w:val="22"/>
        </w:rPr>
      </w:pPr>
      <w:r w:rsidRPr="001E6377">
        <w:rPr>
          <w:b w:val="0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1E6377">
        <w:rPr>
          <w:b w:val="0"/>
          <w:sz w:val="22"/>
          <w:szCs w:val="22"/>
        </w:rPr>
        <w:t xml:space="preserve">, а так же </w:t>
      </w:r>
      <w:r w:rsidR="00162043" w:rsidRPr="001E6377">
        <w:rPr>
          <w:b w:val="0"/>
          <w:sz w:val="22"/>
          <w:szCs w:val="22"/>
        </w:rPr>
        <w:t xml:space="preserve">на то, </w:t>
      </w:r>
      <w:r w:rsidR="00884D59" w:rsidRPr="001E6377">
        <w:rPr>
          <w:b w:val="0"/>
          <w:sz w:val="22"/>
          <w:szCs w:val="22"/>
        </w:rPr>
        <w:t>что заказчик не представил исходные данные для выполнения работ</w:t>
      </w:r>
      <w:r w:rsidRPr="001E6377">
        <w:rPr>
          <w:b w:val="0"/>
          <w:sz w:val="22"/>
          <w:szCs w:val="22"/>
        </w:rPr>
        <w:t>.</w:t>
      </w: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AD29C7" w:rsidRPr="00211569">
        <w:rPr>
          <w:sz w:val="22"/>
          <w:szCs w:val="22"/>
        </w:rPr>
        <w:t>3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ED28CC">
        <w:rPr>
          <w:spacing w:val="-2"/>
          <w:sz w:val="22"/>
          <w:szCs w:val="2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8663A9" w:rsidRPr="008663A9" w:rsidRDefault="0066531A" w:rsidP="008663A9">
      <w:pPr>
        <w:shd w:val="clear" w:color="auto" w:fill="FFFFFF"/>
        <w:autoSpaceDE w:val="0"/>
        <w:autoSpaceDN w:val="0"/>
        <w:jc w:val="both"/>
        <w:rPr>
          <w:rFonts w:eastAsia="Calibri"/>
          <w:highlight w:val="yellow"/>
        </w:rPr>
      </w:pPr>
      <w:r w:rsidRPr="005A4BFC">
        <w:rPr>
          <w:sz w:val="22"/>
          <w:szCs w:val="22"/>
          <w:highlight w:val="yellow"/>
        </w:rPr>
        <w:t>4.1.1</w:t>
      </w:r>
      <w:r w:rsidR="003260F3" w:rsidRPr="005A4BFC">
        <w:rPr>
          <w:sz w:val="22"/>
          <w:szCs w:val="22"/>
          <w:highlight w:val="yellow"/>
        </w:rPr>
        <w:t>3</w:t>
      </w:r>
      <w:r w:rsidRPr="008663A9">
        <w:rPr>
          <w:sz w:val="22"/>
          <w:szCs w:val="22"/>
          <w:highlight w:val="red"/>
        </w:rPr>
        <w:t xml:space="preserve">. </w:t>
      </w:r>
      <w:r w:rsidR="008663A9" w:rsidRPr="008663A9">
        <w:rPr>
          <w:rFonts w:eastAsia="Calibri"/>
          <w:highlight w:val="red"/>
        </w:rPr>
        <w:t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</w:t>
      </w:r>
      <w:proofErr w:type="gramStart"/>
      <w:r w:rsidR="008663A9" w:rsidRPr="008663A9">
        <w:rPr>
          <w:rFonts w:eastAsia="Calibri"/>
          <w:highlight w:val="red"/>
        </w:rPr>
        <w:t xml:space="preserve"> .</w:t>
      </w:r>
      <w:proofErr w:type="gramEnd"/>
    </w:p>
    <w:p w:rsidR="0066531A" w:rsidRPr="008663A9" w:rsidRDefault="0066531A" w:rsidP="0066531A">
      <w:pPr>
        <w:tabs>
          <w:tab w:val="num" w:pos="0"/>
        </w:tabs>
        <w:jc w:val="both"/>
        <w:rPr>
          <w:sz w:val="22"/>
          <w:szCs w:val="22"/>
          <w:highlight w:val="yellow"/>
        </w:rPr>
      </w:pP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рабочих дней </w:t>
      </w:r>
      <w:proofErr w:type="gramStart"/>
      <w:r w:rsidRPr="008A0ED4">
        <w:rPr>
          <w:sz w:val="22"/>
          <w:szCs w:val="22"/>
        </w:rPr>
        <w:t>с даты получения</w:t>
      </w:r>
      <w:proofErr w:type="gramEnd"/>
      <w:r w:rsidRPr="008A0ED4">
        <w:rPr>
          <w:sz w:val="22"/>
          <w:szCs w:val="22"/>
        </w:rPr>
        <w:t xml:space="preserve">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</w:t>
      </w:r>
      <w:r w:rsidRPr="001E6377">
        <w:rPr>
          <w:rFonts w:ascii="Times New Roman" w:hAnsi="Times New Roman" w:cs="Times New Roman"/>
          <w:sz w:val="22"/>
          <w:szCs w:val="22"/>
        </w:rPr>
        <w:lastRenderedPageBreak/>
        <w:t>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337D86">
        <w:rPr>
          <w:sz w:val="22"/>
          <w:szCs w:val="22"/>
          <w:highlight w:val="yellow"/>
        </w:rPr>
        <w:t>5.10</w:t>
      </w:r>
      <w:r w:rsidR="00A9765F" w:rsidRPr="008663A9">
        <w:rPr>
          <w:sz w:val="22"/>
          <w:szCs w:val="22"/>
          <w:highlight w:val="red"/>
        </w:rPr>
        <w:t xml:space="preserve">. </w:t>
      </w:r>
      <w:r w:rsidR="005A4BFC" w:rsidRPr="008663A9">
        <w:rPr>
          <w:sz w:val="22"/>
          <w:szCs w:val="22"/>
          <w:highlight w:val="red"/>
        </w:rPr>
        <w:t xml:space="preserve">  </w:t>
      </w:r>
      <w:r w:rsidR="008663A9" w:rsidRPr="008663A9">
        <w:rPr>
          <w:sz w:val="22"/>
          <w:szCs w:val="22"/>
          <w:highlight w:val="red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8663A9">
        <w:rPr>
          <w:sz w:val="22"/>
          <w:szCs w:val="22"/>
          <w:highlight w:val="red"/>
        </w:rPr>
        <w:t>с даты получения</w:t>
      </w:r>
      <w:proofErr w:type="gramEnd"/>
      <w:r w:rsidR="008663A9" w:rsidRPr="008663A9">
        <w:rPr>
          <w:sz w:val="22"/>
          <w:szCs w:val="22"/>
          <w:highlight w:val="red"/>
        </w:rPr>
        <w:t xml:space="preserve"> соответствующего письменного требования Заказчика. В случае нарушения Подрядчиком сроков, предусмотренных пунктом 3.2.7.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1034FD" w:rsidRPr="001034FD" w:rsidRDefault="001034FD" w:rsidP="001034FD">
      <w:pPr>
        <w:pStyle w:val="ConsPlusNormal"/>
        <w:widowControl w:val="0"/>
        <w:adjustRightInd/>
        <w:rPr>
          <w:sz w:val="24"/>
          <w:szCs w:val="24"/>
          <w:highlight w:val="yellow"/>
        </w:rPr>
      </w:pPr>
      <w:r>
        <w:rPr>
          <w:sz w:val="22"/>
          <w:szCs w:val="22"/>
        </w:rPr>
        <w:t xml:space="preserve">5.11 </w:t>
      </w:r>
      <w:r w:rsidRPr="001034FD">
        <w:rPr>
          <w:sz w:val="24"/>
          <w:szCs w:val="24"/>
          <w:highlight w:val="yellow"/>
        </w:rPr>
        <w:t xml:space="preserve">В случае нарушения </w:t>
      </w:r>
      <w:r>
        <w:rPr>
          <w:sz w:val="24"/>
          <w:szCs w:val="24"/>
          <w:highlight w:val="yellow"/>
        </w:rPr>
        <w:t>Подрядчиком</w:t>
      </w:r>
      <w:r w:rsidRPr="001034FD">
        <w:rPr>
          <w:sz w:val="24"/>
          <w:szCs w:val="24"/>
          <w:highlight w:val="yellow"/>
        </w:rPr>
        <w:t xml:space="preserve"> обязательств по договору</w:t>
      </w:r>
      <w:proofErr w:type="gramStart"/>
      <w:r w:rsidRPr="001034FD">
        <w:rPr>
          <w:sz w:val="24"/>
          <w:szCs w:val="24"/>
          <w:highlight w:val="yellow"/>
        </w:rPr>
        <w:t xml:space="preserve"> ,</w:t>
      </w:r>
      <w:proofErr w:type="gramEnd"/>
      <w:r w:rsidRPr="001034FD">
        <w:rPr>
          <w:sz w:val="24"/>
          <w:szCs w:val="24"/>
          <w:highlight w:val="yellow"/>
        </w:rPr>
        <w:t xml:space="preserve">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</w:t>
      </w:r>
      <w:r>
        <w:rPr>
          <w:sz w:val="24"/>
          <w:szCs w:val="24"/>
          <w:highlight w:val="yellow"/>
        </w:rPr>
        <w:t>Заказчик</w:t>
      </w:r>
      <w:r w:rsidRPr="001034FD">
        <w:rPr>
          <w:sz w:val="24"/>
          <w:szCs w:val="24"/>
          <w:highlight w:val="yellow"/>
        </w:rPr>
        <w:t xml:space="preserve">  вправе потребовать уплаты </w:t>
      </w:r>
      <w:r>
        <w:rPr>
          <w:sz w:val="24"/>
          <w:szCs w:val="24"/>
          <w:highlight w:val="yellow"/>
        </w:rPr>
        <w:t>Подрядчиком</w:t>
      </w:r>
      <w:r w:rsidRPr="001034FD">
        <w:rPr>
          <w:sz w:val="24"/>
          <w:szCs w:val="24"/>
          <w:highlight w:val="yellow"/>
        </w:rPr>
        <w:t xml:space="preserve">  неустойки в размере 0,1 (ноль целых и одна десятая) процента от цены Договора за каждый день просрочки.</w:t>
      </w:r>
    </w:p>
    <w:p w:rsidR="001034FD" w:rsidRDefault="001034FD" w:rsidP="005A4BFC">
      <w:pPr>
        <w:tabs>
          <w:tab w:val="left" w:pos="567"/>
        </w:tabs>
        <w:jc w:val="both"/>
        <w:rPr>
          <w:sz w:val="22"/>
          <w:szCs w:val="22"/>
        </w:rPr>
      </w:pPr>
    </w:p>
    <w:p w:rsidR="005A4BFC" w:rsidRPr="00F65FE5" w:rsidRDefault="005A4BFC" w:rsidP="00F65FE5">
      <w:pPr>
        <w:jc w:val="both"/>
        <w:rPr>
          <w:sz w:val="22"/>
          <w:szCs w:val="22"/>
        </w:rPr>
      </w:pPr>
      <w:bookmarkStart w:id="0" w:name="_GoBack"/>
      <w:bookmarkEnd w:id="0"/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1E6377" w:rsidRDefault="005F2E58" w:rsidP="005F2E58">
      <w:p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6. Гарантийные обязательства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E6377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2"/>
          <w:szCs w:val="22"/>
        </w:rPr>
      </w:pPr>
    </w:p>
    <w:p w:rsidR="004429BB" w:rsidRPr="001E6377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случае</w:t>
      </w:r>
      <w:proofErr w:type="gramStart"/>
      <w:r w:rsidR="00025284" w:rsidRPr="001E6377">
        <w:rPr>
          <w:sz w:val="22"/>
          <w:szCs w:val="22"/>
        </w:rPr>
        <w:t>,</w:t>
      </w:r>
      <w:proofErr w:type="gramEnd"/>
      <w:r w:rsidR="00025284" w:rsidRPr="001E6377">
        <w:rPr>
          <w:sz w:val="22"/>
          <w:szCs w:val="22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заключения и действует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806EE1" w:rsidRPr="001E6377">
        <w:rPr>
          <w:rFonts w:ascii="Times New Roman" w:hAnsi="Times New Roman" w:cs="Times New Roman"/>
          <w:sz w:val="22"/>
          <w:szCs w:val="22"/>
        </w:rPr>
        <w:t>1</w:t>
      </w:r>
      <w:r w:rsidR="006A687B">
        <w:rPr>
          <w:rFonts w:ascii="Times New Roman" w:hAnsi="Times New Roman" w:cs="Times New Roman"/>
          <w:sz w:val="22"/>
          <w:szCs w:val="22"/>
        </w:rPr>
        <w:t>9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выполнении настоящего Договора Стороны руководствуются нормами законодательства Российской </w:t>
      </w:r>
      <w:r w:rsidRPr="001E6377">
        <w:rPr>
          <w:sz w:val="22"/>
          <w:szCs w:val="22"/>
        </w:rPr>
        <w:lastRenderedPageBreak/>
        <w:t>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385BA3" w:rsidRPr="001E6377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2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80721" w:rsidRPr="0076179D">
        <w:rPr>
          <w:rFonts w:ascii="Times New Roman" w:hAnsi="Times New Roman" w:cs="Times New Roman"/>
          <w:sz w:val="22"/>
          <w:szCs w:val="22"/>
        </w:rPr>
        <w:t>«</w:t>
      </w:r>
      <w:r w:rsidR="000E7DEB" w:rsidRPr="0076179D">
        <w:rPr>
          <w:rFonts w:ascii="Times New Roman" w:hAnsi="Times New Roman" w:cs="Times New Roman"/>
          <w:sz w:val="22"/>
          <w:szCs w:val="22"/>
        </w:rPr>
        <w:t>Сводная таблица единичных расценок работ</w:t>
      </w:r>
      <w:r w:rsidR="00580721" w:rsidRPr="0076179D">
        <w:rPr>
          <w:rFonts w:ascii="Times New Roman" w:hAnsi="Times New Roman" w:cs="Times New Roman"/>
          <w:sz w:val="22"/>
          <w:szCs w:val="22"/>
        </w:rPr>
        <w:t>»</w:t>
      </w:r>
      <w:r w:rsidR="0073034C" w:rsidRPr="0076179D">
        <w:rPr>
          <w:rFonts w:ascii="Times New Roman" w:hAnsi="Times New Roman" w:cs="Times New Roman"/>
          <w:sz w:val="22"/>
          <w:szCs w:val="22"/>
        </w:rPr>
        <w:t>;</w:t>
      </w:r>
    </w:p>
    <w:p w:rsidR="00580721" w:rsidRPr="001E637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3</w:t>
      </w:r>
      <w:r w:rsidR="001B5CEC" w:rsidRPr="001E6377">
        <w:rPr>
          <w:rFonts w:ascii="Times New Roman" w:hAnsi="Times New Roman" w:cs="Times New Roman"/>
          <w:sz w:val="22"/>
          <w:szCs w:val="22"/>
        </w:rPr>
        <w:t xml:space="preserve"> «Информация о контрагенте»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F4791F" w:rsidRPr="001E6377" w:rsidRDefault="00B463DE" w:rsidP="00F4791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91F">
        <w:rPr>
          <w:rFonts w:ascii="Times New Roman" w:hAnsi="Times New Roman" w:cs="Times New Roman"/>
          <w:b/>
          <w:sz w:val="24"/>
          <w:szCs w:val="24"/>
        </w:rPr>
        <w:t>м</w:t>
      </w:r>
      <w:r w:rsidR="00F4791F" w:rsidRPr="00C16F98">
        <w:rPr>
          <w:rFonts w:ascii="Times New Roman" w:hAnsi="Times New Roman" w:cs="Times New Roman"/>
          <w:b/>
          <w:sz w:val="24"/>
          <w:szCs w:val="24"/>
        </w:rPr>
        <w:t>ероприяти</w:t>
      </w:r>
      <w:r w:rsidR="00F4791F">
        <w:rPr>
          <w:rFonts w:ascii="Times New Roman" w:hAnsi="Times New Roman" w:cs="Times New Roman"/>
          <w:b/>
          <w:sz w:val="24"/>
          <w:szCs w:val="24"/>
        </w:rPr>
        <w:t>й</w:t>
      </w:r>
      <w:r w:rsidR="00F4791F" w:rsidRPr="00C16F98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="00F4791F" w:rsidRPr="00C16F98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="00F4791F" w:rsidRPr="00C16F98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>Сводная таблица единичных расценок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F4791F" w:rsidRPr="001E6377" w:rsidRDefault="00F4791F" w:rsidP="00F4791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C16F98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C16F98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Pr="00C16F98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C16F98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F4791F" w:rsidRPr="00853CD7" w:rsidRDefault="00F4791F" w:rsidP="00F4791F">
      <w:pPr>
        <w:pStyle w:val="ConsNonformat"/>
        <w:widowControl/>
        <w:ind w:right="0"/>
        <w:jc w:val="center"/>
      </w:pP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B463DE" w:rsidRPr="00B26F1F" w:rsidRDefault="0073034C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B463DE"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</w:t>
            </w:r>
            <w:r w:rsidR="00B46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0E" w:rsidRDefault="00C4460E" w:rsidP="00811A71">
      <w:r>
        <w:separator/>
      </w:r>
    </w:p>
  </w:endnote>
  <w:endnote w:type="continuationSeparator" w:id="0">
    <w:p w:rsidR="00C4460E" w:rsidRDefault="00C4460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0E" w:rsidRDefault="00C4460E" w:rsidP="00811A71">
      <w:r>
        <w:separator/>
      </w:r>
    </w:p>
  </w:footnote>
  <w:footnote w:type="continuationSeparator" w:id="0">
    <w:p w:rsidR="00C4460E" w:rsidRDefault="00C4460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4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7"/>
  </w:num>
  <w:num w:numId="17">
    <w:abstractNumId w:val="25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8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0DB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AD"/>
    <w:rsid w:val="005A1ED4"/>
    <w:rsid w:val="005A4BFC"/>
    <w:rsid w:val="005B586D"/>
    <w:rsid w:val="005B6333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B1A1E"/>
    <w:rsid w:val="008C15E3"/>
    <w:rsid w:val="008C3B40"/>
    <w:rsid w:val="008C43C8"/>
    <w:rsid w:val="008C46E4"/>
    <w:rsid w:val="008C5B9F"/>
    <w:rsid w:val="008D7F3C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91F4-F136-4DE3-AB67-D0028FD4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6120</Words>
  <Characters>34887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40926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Батришин Антон Владимирович</cp:lastModifiedBy>
  <cp:revision>5</cp:revision>
  <cp:lastPrinted>2017-10-24T06:25:00Z</cp:lastPrinted>
  <dcterms:created xsi:type="dcterms:W3CDTF">2017-10-27T04:17:00Z</dcterms:created>
  <dcterms:modified xsi:type="dcterms:W3CDTF">2017-10-27T05:09:00Z</dcterms:modified>
</cp:coreProperties>
</file>