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5F5454">
        <w:rPr>
          <w:rFonts w:ascii="Times New Roman" w:hAnsi="Times New Roman"/>
          <w:sz w:val="28"/>
          <w:szCs w:val="28"/>
        </w:rPr>
        <w:t>№</w:t>
      </w:r>
      <w:r w:rsidR="00B71920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F367A4">
        <w:rPr>
          <w:rFonts w:ascii="Times New Roman" w:hAnsi="Times New Roman"/>
          <w:bCs w:val="0"/>
          <w:caps/>
          <w:sz w:val="28"/>
          <w:szCs w:val="28"/>
        </w:rPr>
        <w:t>6</w:t>
      </w:r>
      <w:r w:rsidR="0016136F">
        <w:rPr>
          <w:rFonts w:ascii="Times New Roman" w:hAnsi="Times New Roman"/>
          <w:bCs w:val="0"/>
          <w:caps/>
          <w:sz w:val="28"/>
          <w:szCs w:val="28"/>
        </w:rPr>
        <w:t>40</w:t>
      </w:r>
      <w:r w:rsidR="00634771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5505C" w:rsidRPr="005F5454">
        <w:rPr>
          <w:rFonts w:ascii="Times New Roman" w:hAnsi="Times New Roman"/>
          <w:caps/>
          <w:sz w:val="28"/>
          <w:szCs w:val="28"/>
        </w:rPr>
        <w:t>-ВП</w:t>
      </w:r>
    </w:p>
    <w:p w:rsidR="00375523" w:rsidRDefault="00623A9C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Cs/>
          <w:color w:val="000000" w:themeColor="text1"/>
          <w:szCs w:val="28"/>
        </w:rPr>
      </w:pPr>
      <w:r w:rsidRPr="00623A9C">
        <w:rPr>
          <w:b/>
          <w:bCs/>
          <w:szCs w:val="28"/>
        </w:rPr>
        <w:t>Заседания закупочной комиссии по выбору победителя по открытому запросу це</w:t>
      </w:r>
      <w:r w:rsidR="00E81FAA">
        <w:rPr>
          <w:b/>
          <w:bCs/>
          <w:szCs w:val="28"/>
        </w:rPr>
        <w:t xml:space="preserve">н на право заключения договора на выполнение работ </w:t>
      </w:r>
      <w:r w:rsidR="00951D9A" w:rsidRPr="00951D9A">
        <w:rPr>
          <w:b/>
          <w:bCs/>
          <w:iCs/>
          <w:color w:val="000000" w:themeColor="text1"/>
          <w:szCs w:val="28"/>
        </w:rPr>
        <w:t xml:space="preserve">на выполнение работ </w:t>
      </w:r>
      <w:r w:rsidR="0016136F" w:rsidRPr="0016136F">
        <w:rPr>
          <w:b/>
          <w:bCs/>
          <w:iCs/>
          <w:color w:val="000000" w:themeColor="text1"/>
          <w:szCs w:val="28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(с. Матвеевка, с. Малиновка, с. Сергеевка, </w:t>
      </w:r>
      <w:proofErr w:type="gramStart"/>
      <w:r w:rsidR="0016136F" w:rsidRPr="0016136F">
        <w:rPr>
          <w:b/>
          <w:bCs/>
          <w:iCs/>
          <w:color w:val="000000" w:themeColor="text1"/>
          <w:szCs w:val="28"/>
        </w:rPr>
        <w:t>с</w:t>
      </w:r>
      <w:proofErr w:type="gramEnd"/>
      <w:r w:rsidR="0016136F" w:rsidRPr="0016136F">
        <w:rPr>
          <w:b/>
          <w:bCs/>
          <w:iCs/>
          <w:color w:val="000000" w:themeColor="text1"/>
          <w:szCs w:val="28"/>
        </w:rPr>
        <w:t xml:space="preserve">. Второй сплавной участок, с. </w:t>
      </w:r>
      <w:proofErr w:type="spellStart"/>
      <w:r w:rsidR="0016136F" w:rsidRPr="0016136F">
        <w:rPr>
          <w:b/>
          <w:bCs/>
          <w:iCs/>
          <w:color w:val="000000" w:themeColor="text1"/>
          <w:szCs w:val="28"/>
        </w:rPr>
        <w:t>Святогорье</w:t>
      </w:r>
      <w:proofErr w:type="spellEnd"/>
      <w:r w:rsidR="0016136F" w:rsidRPr="0016136F">
        <w:rPr>
          <w:b/>
          <w:bCs/>
          <w:iCs/>
          <w:color w:val="000000" w:themeColor="text1"/>
          <w:szCs w:val="28"/>
        </w:rPr>
        <w:t>)»</w:t>
      </w:r>
      <w:r w:rsidR="0016136F">
        <w:rPr>
          <w:b/>
          <w:bCs/>
          <w:iCs/>
          <w:color w:val="000000" w:themeColor="text1"/>
          <w:szCs w:val="28"/>
        </w:rPr>
        <w:t>, закупка 2144</w:t>
      </w:r>
      <w:r w:rsidR="00F367A4" w:rsidRPr="00F367A4">
        <w:rPr>
          <w:b/>
          <w:bCs/>
          <w:iCs/>
          <w:color w:val="000000" w:themeColor="text1"/>
          <w:szCs w:val="28"/>
        </w:rPr>
        <w:t xml:space="preserve"> р. 2.1.1 ГКПЗ 2017</w:t>
      </w:r>
    </w:p>
    <w:p w:rsidR="00F367A4" w:rsidRPr="001D4EA9" w:rsidRDefault="00F367A4" w:rsidP="00E81FAA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623A9C" w:rsidRPr="00623A9C" w:rsidTr="00281B89">
        <w:tc>
          <w:tcPr>
            <w:tcW w:w="4998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ЕИС </w:t>
            </w:r>
            <w:r w:rsidRPr="00623A9C">
              <w:rPr>
                <w:snapToGrid/>
                <w:sz w:val="24"/>
                <w:szCs w:val="24"/>
              </w:rPr>
              <w:t xml:space="preserve">№ </w:t>
            </w:r>
            <w:r w:rsidR="008D5CA6">
              <w:rPr>
                <w:b/>
                <w:i/>
                <w:sz w:val="24"/>
                <w:szCs w:val="24"/>
              </w:rPr>
              <w:t>31705544057</w:t>
            </w:r>
          </w:p>
          <w:p w:rsidR="0011754B" w:rsidRPr="00623A9C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</w:p>
        </w:tc>
        <w:tc>
          <w:tcPr>
            <w:tcW w:w="4999" w:type="dxa"/>
          </w:tcPr>
          <w:p w:rsidR="00623A9C" w:rsidRPr="00623A9C" w:rsidRDefault="00623A9C" w:rsidP="003608D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3608D8">
              <w:rPr>
                <w:b/>
                <w:bCs/>
                <w:caps/>
                <w:snapToGrid/>
                <w:sz w:val="26"/>
                <w:szCs w:val="26"/>
              </w:rPr>
              <w:t>16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F367A4">
              <w:rPr>
                <w:b/>
                <w:snapToGrid/>
                <w:sz w:val="26"/>
                <w:szCs w:val="26"/>
              </w:rPr>
              <w:t>октября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3F449E">
              <w:rPr>
                <w:b/>
                <w:bCs/>
                <w:caps/>
                <w:snapToGrid/>
                <w:sz w:val="26"/>
                <w:szCs w:val="26"/>
              </w:rPr>
              <w:t>2017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  <w:r w:rsidR="00634771" w:rsidRPr="00634771">
              <w:rPr>
                <w:b/>
                <w:snapToGrid/>
                <w:sz w:val="26"/>
                <w:szCs w:val="26"/>
              </w:rPr>
              <w:t>г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>.</w:t>
            </w:r>
          </w:p>
        </w:tc>
      </w:tr>
    </w:tbl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 рассмотрении результатов оценки заявок Участн</w:t>
      </w:r>
      <w:bookmarkStart w:id="2" w:name="_GoBack"/>
      <w:bookmarkEnd w:id="2"/>
      <w:r w:rsidRPr="009E2BF3">
        <w:rPr>
          <w:bCs/>
          <w:i/>
          <w:iCs/>
          <w:snapToGrid/>
          <w:sz w:val="26"/>
          <w:szCs w:val="26"/>
        </w:rPr>
        <w:t>иков.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9E2BF3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9E2BF3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9E2BF3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9E2BF3">
        <w:rPr>
          <w:bCs/>
          <w:i/>
          <w:iCs/>
          <w:snapToGrid/>
          <w:sz w:val="26"/>
          <w:szCs w:val="26"/>
        </w:rPr>
        <w:t xml:space="preserve"> заявок</w:t>
      </w:r>
    </w:p>
    <w:p w:rsidR="009E2BF3" w:rsidRPr="009E2BF3" w:rsidRDefault="009E2BF3" w:rsidP="009E2BF3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720"/>
        <w:contextualSpacing/>
        <w:jc w:val="left"/>
        <w:rPr>
          <w:bCs/>
          <w:i/>
          <w:iCs/>
          <w:snapToGrid/>
          <w:sz w:val="26"/>
          <w:szCs w:val="26"/>
        </w:rPr>
      </w:pPr>
      <w:r w:rsidRPr="009E2BF3">
        <w:rPr>
          <w:bCs/>
          <w:i/>
          <w:iCs/>
          <w:snapToGrid/>
          <w:sz w:val="26"/>
          <w:szCs w:val="26"/>
        </w:rPr>
        <w:t>О выборе победителя открытого запроса цен.</w:t>
      </w:r>
    </w:p>
    <w:p w:rsidR="0011754B" w:rsidRPr="002F2A64" w:rsidRDefault="0011754B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Pr="00375523" w:rsidRDefault="00BF1799" w:rsidP="0011754B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4F15C3" w:rsidRPr="004F15C3" w:rsidRDefault="004F15C3" w:rsidP="004F15C3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4F15C3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4F15C3" w:rsidRPr="004F15C3" w:rsidRDefault="004F15C3" w:rsidP="004F15C3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  <w:shd w:val="clear" w:color="auto" w:fill="FFFF99"/>
        </w:rPr>
      </w:pPr>
      <w:r w:rsidRPr="004F15C3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участников.</w:t>
      </w:r>
    </w:p>
    <w:tbl>
      <w:tblPr>
        <w:tblW w:w="97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878"/>
        <w:gridCol w:w="4571"/>
      </w:tblGrid>
      <w:tr w:rsidR="004F15C3" w:rsidRPr="004F15C3" w:rsidTr="00E458A2">
        <w:trPr>
          <w:trHeight w:val="207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5C3" w:rsidRPr="004F15C3" w:rsidRDefault="004F15C3" w:rsidP="004F15C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4F15C3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5C3" w:rsidRPr="004F15C3" w:rsidRDefault="004F15C3" w:rsidP="004F15C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i/>
                <w:snapToGrid/>
                <w:sz w:val="18"/>
                <w:szCs w:val="18"/>
              </w:rPr>
            </w:pPr>
            <w:r w:rsidRPr="004F15C3">
              <w:rPr>
                <w:b/>
                <w:bCs/>
                <w:i/>
                <w:snapToGrid/>
                <w:sz w:val="18"/>
                <w:szCs w:val="18"/>
              </w:rPr>
              <w:t xml:space="preserve">Наименование участника </w:t>
            </w:r>
            <w:proofErr w:type="spellStart"/>
            <w:r w:rsidRPr="004F15C3">
              <w:rPr>
                <w:b/>
                <w:bCs/>
                <w:i/>
                <w:snapToGrid/>
                <w:sz w:val="18"/>
                <w:szCs w:val="18"/>
              </w:rPr>
              <w:t>Участника</w:t>
            </w:r>
            <w:proofErr w:type="spellEnd"/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5C3" w:rsidRPr="004F15C3" w:rsidRDefault="004F15C3" w:rsidP="004F15C3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4F15C3">
              <w:rPr>
                <w:b/>
                <w:bCs/>
                <w:i/>
                <w:snapToGrid/>
                <w:sz w:val="18"/>
                <w:szCs w:val="18"/>
              </w:rPr>
              <w:t>Стоимость заявки на участие в запросе цен</w:t>
            </w:r>
          </w:p>
        </w:tc>
      </w:tr>
      <w:tr w:rsidR="004F15C3" w:rsidRPr="004F15C3" w:rsidTr="00E458A2">
        <w:trPr>
          <w:trHeight w:val="603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5C3" w:rsidRPr="004F15C3" w:rsidRDefault="004F15C3" w:rsidP="004F15C3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F15C3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5C3" w:rsidRPr="004F15C3" w:rsidRDefault="004F15C3" w:rsidP="004F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4F15C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АО "ВСЭСС"</w:t>
            </w:r>
            <w:r w:rsidRPr="004F15C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4F15C3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2702011141/272501001 </w:t>
            </w:r>
            <w:r w:rsidRPr="004F15C3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1022701403944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5C3" w:rsidRPr="004F15C3" w:rsidRDefault="004F15C3" w:rsidP="004F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4F15C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6 065 095.00 руб. без учета НДС</w:t>
            </w:r>
          </w:p>
          <w:p w:rsidR="004F15C3" w:rsidRPr="004F15C3" w:rsidRDefault="004F15C3" w:rsidP="004F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F15C3">
              <w:rPr>
                <w:rFonts w:eastAsiaTheme="minorHAnsi"/>
                <w:snapToGrid/>
                <w:sz w:val="26"/>
                <w:szCs w:val="26"/>
                <w:lang w:eastAsia="en-US"/>
              </w:rPr>
              <w:t>7 156 812.10 руб. с учетом НДС</w:t>
            </w:r>
          </w:p>
        </w:tc>
      </w:tr>
      <w:tr w:rsidR="004F15C3" w:rsidRPr="004F15C3" w:rsidTr="00E458A2">
        <w:trPr>
          <w:trHeight w:val="59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5C3" w:rsidRPr="004F15C3" w:rsidRDefault="004F15C3" w:rsidP="004F15C3">
            <w:pPr>
              <w:spacing w:line="276" w:lineRule="auto"/>
              <w:ind w:firstLine="0"/>
              <w:jc w:val="left"/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</w:pPr>
            <w:r w:rsidRPr="004F15C3">
              <w:rPr>
                <w:rFonts w:eastAsiaTheme="minorHAnsi"/>
                <w:snapToGrid/>
                <w:color w:val="333333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5C3" w:rsidRPr="004F15C3" w:rsidRDefault="004F15C3" w:rsidP="004F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4F15C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'Амур-ЭП'</w:t>
            </w:r>
            <w:r w:rsidRPr="004F15C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4F15C3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2724046821/272401001 </w:t>
            </w:r>
            <w:r w:rsidRPr="004F15C3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1022701285914</w:t>
            </w:r>
          </w:p>
        </w:tc>
        <w:tc>
          <w:tcPr>
            <w:tcW w:w="45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5C3" w:rsidRPr="004F15C3" w:rsidRDefault="004F15C3" w:rsidP="004F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4F15C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6 145 084.75 руб. без учета НДС</w:t>
            </w:r>
          </w:p>
          <w:p w:rsidR="004F15C3" w:rsidRPr="004F15C3" w:rsidRDefault="004F15C3" w:rsidP="004F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F15C3">
              <w:rPr>
                <w:rFonts w:eastAsiaTheme="minorHAnsi"/>
                <w:snapToGrid/>
                <w:sz w:val="26"/>
                <w:szCs w:val="26"/>
                <w:lang w:eastAsia="en-US"/>
              </w:rPr>
              <w:t>7 251 200.01 руб. с учетом НДС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BF1799" w:rsidRPr="00375523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4F15C3" w:rsidRPr="004F15C3" w:rsidRDefault="004F15C3" w:rsidP="004F15C3">
      <w:pPr>
        <w:tabs>
          <w:tab w:val="left" w:pos="426"/>
          <w:tab w:val="right" w:pos="9360"/>
        </w:tabs>
        <w:spacing w:line="240" w:lineRule="auto"/>
        <w:ind w:firstLine="426"/>
        <w:rPr>
          <w:snapToGrid/>
          <w:sz w:val="26"/>
          <w:szCs w:val="26"/>
        </w:rPr>
      </w:pPr>
      <w:r w:rsidRPr="004F15C3">
        <w:rPr>
          <w:b/>
          <w:sz w:val="26"/>
          <w:szCs w:val="26"/>
        </w:rPr>
        <w:t>1. Признать</w:t>
      </w:r>
      <w:r w:rsidRPr="004F15C3">
        <w:rPr>
          <w:sz w:val="26"/>
          <w:szCs w:val="26"/>
        </w:rPr>
        <w:t xml:space="preserve"> заявки </w:t>
      </w:r>
      <w:r w:rsidRPr="004F15C3">
        <w:rPr>
          <w:rFonts w:eastAsiaTheme="minorHAnsi"/>
          <w:b/>
          <w:i/>
          <w:snapToGrid/>
          <w:sz w:val="26"/>
          <w:szCs w:val="26"/>
          <w:lang w:eastAsia="en-US"/>
        </w:rPr>
        <w:t>АО "ВСЭСС"</w:t>
      </w:r>
      <w:r w:rsidRPr="004F15C3">
        <w:rPr>
          <w:rFonts w:eastAsiaTheme="minorHAnsi"/>
          <w:snapToGrid/>
          <w:sz w:val="26"/>
          <w:szCs w:val="26"/>
          <w:lang w:eastAsia="en-US"/>
        </w:rPr>
        <w:t xml:space="preserve"> ИНН/КПП 2702011141/272501001 ОГРН 1022701403944, </w:t>
      </w:r>
      <w:r w:rsidRPr="004F15C3">
        <w:rPr>
          <w:rFonts w:eastAsiaTheme="minorHAnsi"/>
          <w:b/>
          <w:i/>
          <w:snapToGrid/>
          <w:sz w:val="26"/>
          <w:szCs w:val="26"/>
          <w:lang w:eastAsia="en-US"/>
        </w:rPr>
        <w:t>ООО 'Амур-ЭП'</w:t>
      </w:r>
      <w:r w:rsidRPr="004F15C3">
        <w:rPr>
          <w:rFonts w:eastAsiaTheme="minorHAnsi"/>
          <w:snapToGrid/>
          <w:sz w:val="26"/>
          <w:szCs w:val="26"/>
          <w:lang w:eastAsia="en-US"/>
        </w:rPr>
        <w:t xml:space="preserve"> ИНН/КПП 2724046821/272401001 ОГРН 1022701285914</w:t>
      </w:r>
      <w:r w:rsidRPr="004F15C3">
        <w:rPr>
          <w:rFonts w:eastAsiaTheme="minorHAnsi"/>
          <w:i/>
          <w:snapToGrid/>
          <w:sz w:val="26"/>
          <w:szCs w:val="26"/>
          <w:lang w:eastAsia="en-US"/>
        </w:rPr>
        <w:t xml:space="preserve"> </w:t>
      </w:r>
      <w:r w:rsidRPr="004F15C3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75523" w:rsidRPr="00BF1799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4F15C3" w:rsidRPr="004F15C3" w:rsidRDefault="004F15C3" w:rsidP="004F15C3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4F15C3">
        <w:rPr>
          <w:sz w:val="26"/>
          <w:szCs w:val="26"/>
        </w:rPr>
        <w:t xml:space="preserve">Утвердить </w:t>
      </w:r>
      <w:proofErr w:type="gramStart"/>
      <w:r w:rsidRPr="004F15C3">
        <w:rPr>
          <w:sz w:val="26"/>
          <w:szCs w:val="26"/>
        </w:rPr>
        <w:t>итоговую</w:t>
      </w:r>
      <w:proofErr w:type="gramEnd"/>
      <w:r w:rsidRPr="004F15C3">
        <w:rPr>
          <w:sz w:val="26"/>
          <w:szCs w:val="26"/>
        </w:rPr>
        <w:t xml:space="preserve"> </w:t>
      </w:r>
      <w:proofErr w:type="spellStart"/>
      <w:r w:rsidRPr="004F15C3">
        <w:rPr>
          <w:sz w:val="26"/>
          <w:szCs w:val="26"/>
        </w:rPr>
        <w:t>ранжировку</w:t>
      </w:r>
      <w:proofErr w:type="spellEnd"/>
      <w:r w:rsidRPr="004F15C3">
        <w:rPr>
          <w:sz w:val="26"/>
          <w:szCs w:val="26"/>
        </w:rPr>
        <w:t xml:space="preserve"> заявок:</w:t>
      </w:r>
    </w:p>
    <w:tbl>
      <w:tblPr>
        <w:tblW w:w="97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14"/>
        <w:gridCol w:w="4481"/>
        <w:gridCol w:w="2124"/>
        <w:gridCol w:w="1939"/>
      </w:tblGrid>
      <w:tr w:rsidR="004F15C3" w:rsidRPr="004F15C3" w:rsidTr="00E458A2">
        <w:trPr>
          <w:trHeight w:val="66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5C3" w:rsidRPr="004F15C3" w:rsidRDefault="004F15C3" w:rsidP="004F15C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4F15C3">
              <w:rPr>
                <w:b/>
                <w:bCs/>
                <w:i/>
                <w:snapToGrid/>
                <w:sz w:val="20"/>
              </w:rPr>
              <w:lastRenderedPageBreak/>
              <w:t xml:space="preserve">Место в </w:t>
            </w:r>
            <w:proofErr w:type="gramStart"/>
            <w:r w:rsidRPr="004F15C3">
              <w:rPr>
                <w:b/>
                <w:bCs/>
                <w:i/>
                <w:snapToGrid/>
                <w:sz w:val="20"/>
              </w:rPr>
              <w:t>итоговой</w:t>
            </w:r>
            <w:proofErr w:type="gramEnd"/>
            <w:r w:rsidRPr="004F15C3">
              <w:rPr>
                <w:b/>
                <w:bCs/>
                <w:i/>
                <w:snapToGrid/>
                <w:sz w:val="20"/>
              </w:rPr>
              <w:t xml:space="preserve"> </w:t>
            </w:r>
            <w:proofErr w:type="spellStart"/>
            <w:r w:rsidRPr="004F15C3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5C3" w:rsidRPr="004F15C3" w:rsidRDefault="004F15C3" w:rsidP="004F15C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4F15C3">
              <w:rPr>
                <w:b/>
                <w:bCs/>
                <w:i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F15C3" w:rsidRPr="004F15C3" w:rsidRDefault="004F15C3" w:rsidP="004F15C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4F15C3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5C3" w:rsidRPr="004F15C3" w:rsidRDefault="004F15C3" w:rsidP="004F15C3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4F15C3">
              <w:rPr>
                <w:b/>
                <w:bCs/>
                <w:i/>
                <w:snapToGrid/>
                <w:sz w:val="20"/>
              </w:rPr>
              <w:t>Страна происхождения</w:t>
            </w:r>
          </w:p>
        </w:tc>
      </w:tr>
      <w:tr w:rsidR="004F15C3" w:rsidRPr="004F15C3" w:rsidTr="00E458A2">
        <w:trPr>
          <w:trHeight w:val="56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5C3" w:rsidRPr="004F15C3" w:rsidRDefault="004F15C3" w:rsidP="004F15C3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4F15C3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5C3" w:rsidRPr="004F15C3" w:rsidRDefault="004F15C3" w:rsidP="004F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4F15C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АО "ВСЭСС"</w:t>
            </w:r>
            <w:r w:rsidRPr="004F15C3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</w:t>
            </w:r>
            <w:r w:rsidRPr="004F15C3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2702011141/272501001 </w:t>
            </w:r>
            <w:r w:rsidRPr="004F15C3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1022701403944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5C3" w:rsidRPr="004F15C3" w:rsidRDefault="004F15C3" w:rsidP="004F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F15C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6 065 095.00</w:t>
            </w:r>
          </w:p>
          <w:p w:rsidR="004F15C3" w:rsidRPr="004F15C3" w:rsidRDefault="004F15C3" w:rsidP="004F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5C3" w:rsidRPr="004F15C3" w:rsidRDefault="004F15C3" w:rsidP="004F15C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4F15C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  <w:tr w:rsidR="004F15C3" w:rsidRPr="004F15C3" w:rsidTr="00E458A2">
        <w:trPr>
          <w:trHeight w:val="544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5C3" w:rsidRPr="004F15C3" w:rsidRDefault="004F15C3" w:rsidP="004F15C3">
            <w:pPr>
              <w:tabs>
                <w:tab w:val="left" w:pos="426"/>
              </w:tabs>
              <w:spacing w:after="200" w:line="240" w:lineRule="auto"/>
              <w:ind w:firstLine="0"/>
              <w:jc w:val="left"/>
              <w:rPr>
                <w:snapToGrid/>
                <w:sz w:val="25"/>
                <w:szCs w:val="25"/>
              </w:rPr>
            </w:pPr>
            <w:r w:rsidRPr="004F15C3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4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5C3" w:rsidRPr="004F15C3" w:rsidRDefault="004F15C3" w:rsidP="004F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napToGrid/>
                <w:sz w:val="26"/>
                <w:szCs w:val="26"/>
                <w:lang w:eastAsia="en-US"/>
              </w:rPr>
            </w:pPr>
            <w:r w:rsidRPr="004F15C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«Амур-ЭП</w:t>
            </w:r>
            <w:r w:rsidRPr="004F15C3">
              <w:rPr>
                <w:rFonts w:eastAsiaTheme="minorHAnsi"/>
                <w:snapToGrid/>
                <w:sz w:val="26"/>
                <w:szCs w:val="26"/>
                <w:lang w:eastAsia="en-US"/>
              </w:rPr>
              <w:t>»</w:t>
            </w:r>
            <w:r w:rsidRPr="004F15C3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2724046821/272401001 </w:t>
            </w:r>
            <w:r w:rsidRPr="004F15C3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1022701285914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5C3" w:rsidRPr="004F15C3" w:rsidRDefault="004F15C3" w:rsidP="004F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F15C3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6 145 084.75</w:t>
            </w:r>
          </w:p>
          <w:p w:rsidR="004F15C3" w:rsidRPr="004F15C3" w:rsidRDefault="004F15C3" w:rsidP="004F15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1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F15C3" w:rsidRPr="004F15C3" w:rsidRDefault="004F15C3" w:rsidP="004F15C3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4F15C3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РФ</w:t>
            </w:r>
          </w:p>
        </w:tc>
      </w:tr>
    </w:tbl>
    <w:p w:rsidR="004F15C3" w:rsidRDefault="004F15C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3C7474" w:rsidRPr="00375523" w:rsidRDefault="003C7474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Pr="0037552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375523" w:rsidRPr="00BF1799" w:rsidRDefault="0037552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i/>
          <w:sz w:val="26"/>
          <w:szCs w:val="26"/>
          <w:u w:val="single"/>
        </w:rPr>
      </w:pPr>
    </w:p>
    <w:p w:rsidR="004F15C3" w:rsidRPr="004F15C3" w:rsidRDefault="004F15C3" w:rsidP="004F15C3">
      <w:pPr>
        <w:widowControl w:val="0"/>
        <w:autoSpaceDE w:val="0"/>
        <w:autoSpaceDN w:val="0"/>
        <w:adjustRightInd w:val="0"/>
        <w:spacing w:line="240" w:lineRule="auto"/>
        <w:ind w:firstLine="426"/>
        <w:rPr>
          <w:b/>
          <w:i/>
          <w:sz w:val="26"/>
          <w:szCs w:val="26"/>
        </w:rPr>
      </w:pPr>
      <w:r w:rsidRPr="004F15C3">
        <w:rPr>
          <w:rFonts w:eastAsiaTheme="minorHAnsi"/>
          <w:b/>
          <w:i/>
          <w:sz w:val="26"/>
          <w:szCs w:val="26"/>
          <w:lang w:eastAsia="en-US"/>
        </w:rPr>
        <w:t>1. Признать победителем</w:t>
      </w:r>
      <w:r w:rsidRPr="004F15C3">
        <w:rPr>
          <w:rFonts w:eastAsiaTheme="minorHAnsi"/>
          <w:sz w:val="26"/>
          <w:szCs w:val="26"/>
          <w:lang w:eastAsia="en-US"/>
        </w:rPr>
        <w:t xml:space="preserve"> открытого запроса цен </w:t>
      </w:r>
      <w:r w:rsidRPr="004F15C3">
        <w:rPr>
          <w:rFonts w:eastAsiaTheme="minorHAnsi"/>
          <w:bCs/>
          <w:iCs/>
          <w:sz w:val="26"/>
          <w:szCs w:val="26"/>
          <w:lang w:eastAsia="en-US"/>
        </w:rPr>
        <w:t>на право заключение договора на выполнение работ</w:t>
      </w:r>
      <w:r w:rsidRPr="004F15C3">
        <w:rPr>
          <w:rFonts w:eastAsiaTheme="minorHAnsi"/>
          <w:b/>
          <w:bCs/>
          <w:iCs/>
          <w:sz w:val="26"/>
          <w:szCs w:val="26"/>
          <w:lang w:eastAsia="en-US"/>
        </w:rPr>
        <w:t xml:space="preserve"> </w:t>
      </w:r>
      <w:r w:rsidRPr="004F15C3">
        <w:rPr>
          <w:b/>
          <w:bCs/>
          <w:i/>
          <w:iCs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(с. Матвеевка, с. Малиновка, с. Сергеевка, </w:t>
      </w:r>
      <w:proofErr w:type="gramStart"/>
      <w:r w:rsidRPr="004F15C3">
        <w:rPr>
          <w:b/>
          <w:bCs/>
          <w:i/>
          <w:iCs/>
          <w:sz w:val="26"/>
          <w:szCs w:val="26"/>
        </w:rPr>
        <w:t>с</w:t>
      </w:r>
      <w:proofErr w:type="gramEnd"/>
      <w:r w:rsidRPr="004F15C3">
        <w:rPr>
          <w:b/>
          <w:bCs/>
          <w:i/>
          <w:iCs/>
          <w:sz w:val="26"/>
          <w:szCs w:val="26"/>
        </w:rPr>
        <w:t xml:space="preserve">. Второй сплавной участок, с. </w:t>
      </w:r>
      <w:proofErr w:type="spellStart"/>
      <w:r w:rsidRPr="004F15C3">
        <w:rPr>
          <w:b/>
          <w:bCs/>
          <w:i/>
          <w:iCs/>
          <w:sz w:val="26"/>
          <w:szCs w:val="26"/>
        </w:rPr>
        <w:t>Святогорье</w:t>
      </w:r>
      <w:proofErr w:type="spellEnd"/>
      <w:r w:rsidRPr="004F15C3">
        <w:rPr>
          <w:b/>
          <w:bCs/>
          <w:i/>
          <w:iCs/>
          <w:sz w:val="26"/>
          <w:szCs w:val="26"/>
        </w:rPr>
        <w:t>)»</w:t>
      </w:r>
      <w:r w:rsidRPr="004F15C3">
        <w:rPr>
          <w:rFonts w:eastAsiaTheme="minorHAnsi"/>
          <w:b/>
          <w:bCs/>
          <w:i/>
          <w:iCs/>
          <w:sz w:val="26"/>
          <w:szCs w:val="26"/>
          <w:lang w:eastAsia="en-US"/>
        </w:rPr>
        <w:t xml:space="preserve">,  </w:t>
      </w:r>
      <w:r w:rsidRPr="004F15C3">
        <w:rPr>
          <w:rFonts w:eastAsiaTheme="minorHAnsi"/>
          <w:sz w:val="26"/>
          <w:szCs w:val="26"/>
          <w:lang w:eastAsia="en-US"/>
        </w:rPr>
        <w:t xml:space="preserve">участника, занявшего первое место в итоговой </w:t>
      </w:r>
      <w:proofErr w:type="spellStart"/>
      <w:r w:rsidRPr="004F15C3">
        <w:rPr>
          <w:rFonts w:eastAsiaTheme="minorHAnsi"/>
          <w:sz w:val="26"/>
          <w:szCs w:val="26"/>
          <w:lang w:eastAsia="en-US"/>
        </w:rPr>
        <w:t>ранжировке</w:t>
      </w:r>
      <w:proofErr w:type="spellEnd"/>
      <w:r w:rsidRPr="004F15C3">
        <w:rPr>
          <w:rFonts w:eastAsiaTheme="minorHAnsi"/>
          <w:sz w:val="26"/>
          <w:szCs w:val="26"/>
          <w:lang w:eastAsia="en-US"/>
        </w:rPr>
        <w:t xml:space="preserve"> по степени предпочтительности для Заказчика</w:t>
      </w:r>
      <w:r w:rsidRPr="004F15C3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4F15C3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АО "ВСЭСС" </w:t>
      </w:r>
      <w:r w:rsidRPr="004F15C3">
        <w:rPr>
          <w:rFonts w:eastAsiaTheme="minorHAnsi"/>
          <w:i/>
          <w:snapToGrid/>
          <w:color w:val="333333"/>
          <w:sz w:val="26"/>
          <w:szCs w:val="26"/>
          <w:lang w:eastAsia="en-US"/>
        </w:rPr>
        <w:t>ИНН/КПП 2702011141/272501001 ОГРН 1022701403944</w:t>
      </w:r>
      <w:r w:rsidRPr="004F15C3">
        <w:rPr>
          <w:rFonts w:eastAsiaTheme="minorHAnsi"/>
          <w:b/>
          <w:i/>
          <w:snapToGrid/>
          <w:color w:val="333333"/>
          <w:sz w:val="26"/>
          <w:szCs w:val="26"/>
          <w:lang w:eastAsia="en-US"/>
        </w:rPr>
        <w:t xml:space="preserve"> </w:t>
      </w:r>
      <w:r w:rsidRPr="004F15C3">
        <w:rPr>
          <w:rFonts w:eastAsiaTheme="minorHAnsi"/>
          <w:sz w:val="26"/>
          <w:szCs w:val="26"/>
          <w:lang w:eastAsia="en-US"/>
        </w:rPr>
        <w:t xml:space="preserve">на условиях: стоимость заявки </w:t>
      </w:r>
      <w:r w:rsidRPr="004F15C3">
        <w:rPr>
          <w:b/>
          <w:i/>
          <w:sz w:val="26"/>
          <w:szCs w:val="26"/>
        </w:rPr>
        <w:t>6 065 095.00 руб. без учета НДС (</w:t>
      </w:r>
      <w:r w:rsidRPr="004F15C3">
        <w:rPr>
          <w:sz w:val="26"/>
          <w:szCs w:val="26"/>
        </w:rPr>
        <w:t>7 156 812.10 руб. с учетом НДС).</w:t>
      </w:r>
      <w:r w:rsidR="004E3217">
        <w:rPr>
          <w:sz w:val="26"/>
          <w:szCs w:val="26"/>
        </w:rPr>
        <w:t xml:space="preserve"> </w:t>
      </w:r>
      <w:r w:rsidRPr="004F15C3">
        <w:rPr>
          <w:sz w:val="26"/>
          <w:szCs w:val="26"/>
        </w:rPr>
        <w:t>Срок выполнения работ: с момента заключения договора до 31.12.2017</w:t>
      </w:r>
      <w:r w:rsidRPr="004F15C3">
        <w:rPr>
          <w:b/>
          <w:i/>
          <w:sz w:val="26"/>
          <w:szCs w:val="26"/>
        </w:rPr>
        <w:t xml:space="preserve"> г. </w:t>
      </w:r>
      <w:r w:rsidRPr="004F15C3">
        <w:rPr>
          <w:sz w:val="26"/>
          <w:szCs w:val="26"/>
        </w:rPr>
        <w:t xml:space="preserve">Условия оплаты: расчет за каждый выполненный этап работ производится в течение 30 (тридцати) календарных дней </w:t>
      </w:r>
      <w:proofErr w:type="gramStart"/>
      <w:r w:rsidRPr="004F15C3">
        <w:rPr>
          <w:sz w:val="26"/>
          <w:szCs w:val="26"/>
        </w:rPr>
        <w:t>с даты подписания</w:t>
      </w:r>
      <w:proofErr w:type="gramEnd"/>
      <w:r w:rsidRPr="004F15C3">
        <w:rPr>
          <w:sz w:val="26"/>
          <w:szCs w:val="26"/>
        </w:rPr>
        <w:t xml:space="preserve"> справки о стоимости  выполненных работ КС-3.</w:t>
      </w:r>
      <w:r w:rsidRPr="004F15C3">
        <w:rPr>
          <w:b/>
          <w:i/>
          <w:sz w:val="26"/>
          <w:szCs w:val="26"/>
        </w:rPr>
        <w:t xml:space="preserve"> </w:t>
      </w:r>
      <w:r w:rsidRPr="004F15C3">
        <w:rPr>
          <w:sz w:val="26"/>
          <w:szCs w:val="26"/>
        </w:rPr>
        <w:t>Гарантийные обязательства: на своевременное и качественное выполнение работ, а так же на устранение дефектов, возникших по вине Подрядчика в течение 60 месяцев с момента приемки выполненных работ.</w:t>
      </w:r>
    </w:p>
    <w:p w:rsidR="009E2BF3" w:rsidRPr="00375523" w:rsidRDefault="009E2BF3" w:rsidP="009E2BF3">
      <w:pPr>
        <w:widowControl w:val="0"/>
        <w:autoSpaceDE w:val="0"/>
        <w:autoSpaceDN w:val="0"/>
        <w:adjustRightInd w:val="0"/>
        <w:spacing w:after="200" w:line="240" w:lineRule="auto"/>
        <w:ind w:firstLine="426"/>
        <w:rPr>
          <w:rFonts w:eastAsiaTheme="minorHAnsi"/>
          <w:b/>
          <w:i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0D1939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0D1939" w:rsidRPr="00375523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75523" w:rsidRDefault="00375523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944900">
      <w:headerReference w:type="default" r:id="rId9"/>
      <w:footerReference w:type="default" r:id="rId10"/>
      <w:pgSz w:w="11906" w:h="16838"/>
      <w:pgMar w:top="709" w:right="849" w:bottom="851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9A3" w:rsidRDefault="004F79A3" w:rsidP="00355095">
      <w:pPr>
        <w:spacing w:line="240" w:lineRule="auto"/>
      </w:pPr>
      <w:r>
        <w:separator/>
      </w:r>
    </w:p>
  </w:endnote>
  <w:endnote w:type="continuationSeparator" w:id="0">
    <w:p w:rsidR="004F79A3" w:rsidRDefault="004F79A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08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08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9A3" w:rsidRDefault="004F79A3" w:rsidP="00355095">
      <w:pPr>
        <w:spacing w:line="240" w:lineRule="auto"/>
      </w:pPr>
      <w:r>
        <w:separator/>
      </w:r>
    </w:p>
  </w:footnote>
  <w:footnote w:type="continuationSeparator" w:id="0">
    <w:p w:rsidR="004F79A3" w:rsidRDefault="004F79A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11754B">
      <w:rPr>
        <w:i/>
        <w:sz w:val="20"/>
      </w:rPr>
      <w:t>2</w:t>
    </w:r>
    <w:r w:rsidR="00951D9A">
      <w:rPr>
        <w:i/>
        <w:sz w:val="20"/>
      </w:rPr>
      <w:t>1</w:t>
    </w:r>
    <w:r w:rsidR="004F15C3">
      <w:rPr>
        <w:i/>
        <w:sz w:val="20"/>
      </w:rPr>
      <w:t>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23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6E22"/>
    <w:rsid w:val="00103D49"/>
    <w:rsid w:val="001114A0"/>
    <w:rsid w:val="0011164A"/>
    <w:rsid w:val="0011754B"/>
    <w:rsid w:val="00126847"/>
    <w:rsid w:val="00133708"/>
    <w:rsid w:val="00143503"/>
    <w:rsid w:val="00144C8B"/>
    <w:rsid w:val="00153E9A"/>
    <w:rsid w:val="0016136F"/>
    <w:rsid w:val="001812F2"/>
    <w:rsid w:val="001924E0"/>
    <w:rsid w:val="001926AC"/>
    <w:rsid w:val="00193586"/>
    <w:rsid w:val="001A321D"/>
    <w:rsid w:val="001B13FD"/>
    <w:rsid w:val="001B37A3"/>
    <w:rsid w:val="001B3C0C"/>
    <w:rsid w:val="001D0E87"/>
    <w:rsid w:val="001D30F0"/>
    <w:rsid w:val="001D4EA9"/>
    <w:rsid w:val="001E33F9"/>
    <w:rsid w:val="001F001D"/>
    <w:rsid w:val="001F1045"/>
    <w:rsid w:val="001F16DB"/>
    <w:rsid w:val="00200CC3"/>
    <w:rsid w:val="002120C8"/>
    <w:rsid w:val="002120F0"/>
    <w:rsid w:val="00214035"/>
    <w:rsid w:val="002251DB"/>
    <w:rsid w:val="002275BB"/>
    <w:rsid w:val="00227DAC"/>
    <w:rsid w:val="002472BA"/>
    <w:rsid w:val="00252705"/>
    <w:rsid w:val="00252B9E"/>
    <w:rsid w:val="00257253"/>
    <w:rsid w:val="00270153"/>
    <w:rsid w:val="0027279B"/>
    <w:rsid w:val="00272C18"/>
    <w:rsid w:val="00277600"/>
    <w:rsid w:val="002829CE"/>
    <w:rsid w:val="002846FC"/>
    <w:rsid w:val="00287A57"/>
    <w:rsid w:val="002A4021"/>
    <w:rsid w:val="002B7EC6"/>
    <w:rsid w:val="002C7280"/>
    <w:rsid w:val="002E102F"/>
    <w:rsid w:val="002E1D13"/>
    <w:rsid w:val="002E4AAD"/>
    <w:rsid w:val="002E78C3"/>
    <w:rsid w:val="002F2A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40BB7"/>
    <w:rsid w:val="00340D88"/>
    <w:rsid w:val="00342D95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B4F"/>
    <w:rsid w:val="00416CFB"/>
    <w:rsid w:val="00422525"/>
    <w:rsid w:val="00423EB5"/>
    <w:rsid w:val="00425DCF"/>
    <w:rsid w:val="00433072"/>
    <w:rsid w:val="004355A8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1EA3"/>
    <w:rsid w:val="004C263C"/>
    <w:rsid w:val="004D1A37"/>
    <w:rsid w:val="004D6055"/>
    <w:rsid w:val="004E3217"/>
    <w:rsid w:val="004E6CE8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4AD8"/>
    <w:rsid w:val="005A5408"/>
    <w:rsid w:val="005B1491"/>
    <w:rsid w:val="005B5865"/>
    <w:rsid w:val="005D40F5"/>
    <w:rsid w:val="005D7BA8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B3625"/>
    <w:rsid w:val="006B61F6"/>
    <w:rsid w:val="006B766B"/>
    <w:rsid w:val="006C4B51"/>
    <w:rsid w:val="006E4278"/>
    <w:rsid w:val="006E6452"/>
    <w:rsid w:val="006F05A3"/>
    <w:rsid w:val="006F3881"/>
    <w:rsid w:val="006F7964"/>
    <w:rsid w:val="00700899"/>
    <w:rsid w:val="00700BDF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647C6"/>
    <w:rsid w:val="00771B04"/>
    <w:rsid w:val="00774913"/>
    <w:rsid w:val="0079337E"/>
    <w:rsid w:val="0079457B"/>
    <w:rsid w:val="007A01C9"/>
    <w:rsid w:val="007A0ACC"/>
    <w:rsid w:val="007A0EBF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32E1"/>
    <w:rsid w:val="00861C62"/>
    <w:rsid w:val="008630C2"/>
    <w:rsid w:val="00864009"/>
    <w:rsid w:val="008759B3"/>
    <w:rsid w:val="008802EA"/>
    <w:rsid w:val="008848D3"/>
    <w:rsid w:val="00886219"/>
    <w:rsid w:val="0088746E"/>
    <w:rsid w:val="0089485D"/>
    <w:rsid w:val="008A5961"/>
    <w:rsid w:val="008B3B96"/>
    <w:rsid w:val="008B4E73"/>
    <w:rsid w:val="008D0CC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46E4"/>
    <w:rsid w:val="00926498"/>
    <w:rsid w:val="0092797A"/>
    <w:rsid w:val="00927F66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5274A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DEA"/>
    <w:rsid w:val="00CB0FB8"/>
    <w:rsid w:val="00CB5269"/>
    <w:rsid w:val="00CC25F9"/>
    <w:rsid w:val="00CC5E95"/>
    <w:rsid w:val="00CD1990"/>
    <w:rsid w:val="00CE127B"/>
    <w:rsid w:val="00CE3F1D"/>
    <w:rsid w:val="00CF1CFD"/>
    <w:rsid w:val="00CF2EA5"/>
    <w:rsid w:val="00D021F1"/>
    <w:rsid w:val="00D0338E"/>
    <w:rsid w:val="00D048CE"/>
    <w:rsid w:val="00D05F7D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7664"/>
    <w:rsid w:val="00DD7B9B"/>
    <w:rsid w:val="00DD7FC6"/>
    <w:rsid w:val="00DE2BEB"/>
    <w:rsid w:val="00DE5C19"/>
    <w:rsid w:val="00DE654C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137</cp:revision>
  <cp:lastPrinted>2017-10-11T04:51:00Z</cp:lastPrinted>
  <dcterms:created xsi:type="dcterms:W3CDTF">2015-03-25T00:17:00Z</dcterms:created>
  <dcterms:modified xsi:type="dcterms:W3CDTF">2017-10-16T06:50:00Z</dcterms:modified>
</cp:coreProperties>
</file>