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273F53">
        <w:rPr>
          <w:rFonts w:ascii="Times New Roman" w:hAnsi="Times New Roman" w:cs="Times New Roman"/>
          <w:i/>
          <w:iCs/>
          <w:sz w:val="24"/>
          <w:szCs w:val="24"/>
        </w:rPr>
        <w:t>строительству</w:t>
      </w:r>
      <w:r w:rsidR="00443E93" w:rsidRPr="00443E93">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583894" w:rsidRPr="00583894">
        <w:rPr>
          <w:rFonts w:ascii="Times New Roman" w:hAnsi="Times New Roman" w:cs="Times New Roman"/>
          <w:b/>
          <w:sz w:val="24"/>
          <w:szCs w:val="24"/>
        </w:rPr>
        <w:t>г. Владивосток, п. Новый, г. Артем, п. Морской</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w:t>
      </w:r>
      <w:bookmarkStart w:id="0" w:name="_GoBack"/>
      <w:bookmarkEnd w:id="0"/>
      <w:r w:rsidRPr="00710B48">
        <w:t>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443E93" w:rsidRPr="00443E93" w:rsidRDefault="00443E93" w:rsidP="00443E93">
      <w:pPr>
        <w:widowControl w:val="0"/>
        <w:tabs>
          <w:tab w:val="left" w:pos="993"/>
        </w:tabs>
        <w:ind w:firstLine="709"/>
        <w:contextualSpacing/>
        <w:jc w:val="both"/>
        <w:rPr>
          <w:color w:val="0000FF"/>
        </w:rPr>
      </w:pPr>
      <w:r w:rsidRPr="00443E93">
        <w:rPr>
          <w:color w:val="0000FF"/>
        </w:rPr>
        <w:t xml:space="preserve">1.3.1. </w:t>
      </w:r>
      <w:r w:rsidR="00273F53" w:rsidRPr="00273F53">
        <w:rPr>
          <w:color w:val="0000FF"/>
        </w:rPr>
        <w:t>№17-2041 от 06.06.2017 (</w:t>
      </w:r>
      <w:proofErr w:type="spellStart"/>
      <w:r w:rsidR="00273F53" w:rsidRPr="00273F53">
        <w:rPr>
          <w:color w:val="0000FF"/>
        </w:rPr>
        <w:t>Почвин</w:t>
      </w:r>
      <w:proofErr w:type="spellEnd"/>
      <w:r w:rsidR="00273F53" w:rsidRPr="00273F53">
        <w:rPr>
          <w:color w:val="0000FF"/>
        </w:rPr>
        <w:t xml:space="preserve"> А.Г., г. Владивосток, о. Русский, в 2252 м на северо-запад от мыса Балка), 15 кВт. 380В</w:t>
      </w:r>
      <w:r w:rsidRPr="00443E93">
        <w:rPr>
          <w:color w:val="0000FF"/>
        </w:rPr>
        <w:t>;</w:t>
      </w:r>
    </w:p>
    <w:p w:rsidR="00443E93" w:rsidRPr="00443E93" w:rsidRDefault="00443E93" w:rsidP="00443E93">
      <w:pPr>
        <w:widowControl w:val="0"/>
        <w:tabs>
          <w:tab w:val="left" w:pos="993"/>
        </w:tabs>
        <w:ind w:firstLine="709"/>
        <w:contextualSpacing/>
        <w:jc w:val="both"/>
        <w:rPr>
          <w:color w:val="0000FF"/>
        </w:rPr>
      </w:pPr>
      <w:r w:rsidRPr="00443E93">
        <w:rPr>
          <w:color w:val="0000FF"/>
        </w:rPr>
        <w:t xml:space="preserve">1.3.2. </w:t>
      </w:r>
      <w:r w:rsidR="00273F53" w:rsidRPr="00273F53">
        <w:rPr>
          <w:color w:val="0000FF"/>
        </w:rPr>
        <w:t>№17-1894 от 19.05.2017 (Соловьева И.К., Надеждинский р-н, п. Новый, ул. Южная, д. 30), 15 кВт. 380В</w:t>
      </w:r>
      <w:r w:rsidRPr="00443E93">
        <w:rPr>
          <w:color w:val="0000FF"/>
        </w:rPr>
        <w:t>;</w:t>
      </w:r>
    </w:p>
    <w:p w:rsidR="00443E93" w:rsidRPr="00443E93" w:rsidRDefault="00443E93" w:rsidP="00443E93">
      <w:pPr>
        <w:widowControl w:val="0"/>
        <w:tabs>
          <w:tab w:val="left" w:pos="993"/>
        </w:tabs>
        <w:ind w:firstLine="709"/>
        <w:contextualSpacing/>
        <w:jc w:val="both"/>
        <w:rPr>
          <w:color w:val="0000FF"/>
        </w:rPr>
      </w:pPr>
      <w:r w:rsidRPr="00443E93">
        <w:rPr>
          <w:color w:val="0000FF"/>
        </w:rPr>
        <w:t xml:space="preserve">1.3.3. </w:t>
      </w:r>
      <w:r w:rsidR="00273F53" w:rsidRPr="00273F53">
        <w:rPr>
          <w:color w:val="0000FF"/>
        </w:rPr>
        <w:t xml:space="preserve">№17-2134 от 14.06.2017 (Матвеев В.Ю., г. Артём, </w:t>
      </w:r>
      <w:proofErr w:type="spellStart"/>
      <w:r w:rsidR="00273F53" w:rsidRPr="00273F53">
        <w:rPr>
          <w:color w:val="0000FF"/>
        </w:rPr>
        <w:t>снт</w:t>
      </w:r>
      <w:proofErr w:type="spellEnd"/>
      <w:r w:rsidR="00273F53" w:rsidRPr="00273F53">
        <w:rPr>
          <w:color w:val="0000FF"/>
        </w:rPr>
        <w:t xml:space="preserve"> "Тор", участок № 68), 15 кВт. 380В</w:t>
      </w:r>
      <w:r w:rsidRPr="00443E93">
        <w:rPr>
          <w:color w:val="0000FF"/>
        </w:rPr>
        <w:t>;</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1"/>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1"/>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1"/>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w:t>
      </w:r>
      <w:r w:rsidRPr="00710B48">
        <w:lastRenderedPageBreak/>
        <w:t>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 xml:space="preserve">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w:t>
      </w:r>
      <w:r w:rsidRPr="00A13291">
        <w:lastRenderedPageBreak/>
        <w:t>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w:t>
      </w:r>
      <w:r w:rsidRPr="00710B48">
        <w:lastRenderedPageBreak/>
        <w:t xml:space="preserve">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B87B44">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w:t>
      </w:r>
      <w:r w:rsidR="0037340F" w:rsidRPr="00710B48">
        <w:lastRenderedPageBreak/>
        <w:t>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w:t>
      </w:r>
      <w:r>
        <w:lastRenderedPageBreak/>
        <w:t xml:space="preserve">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4E46">
        <w:rPr>
          <w:bCs/>
          <w:iCs/>
        </w:rPr>
        <w:t xml:space="preserve"> в течении</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w:t>
      </w:r>
      <w:r w:rsidRPr="00710B48">
        <w:lastRenderedPageBreak/>
        <w:t>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lastRenderedPageBreak/>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rsidR="00F30D78">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943793">
        <w:lastRenderedPageBreak/>
        <w:t>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rsidR="00F30D78">
        <w:t>0</w:t>
      </w:r>
      <w:r w:rsidRPr="00943793">
        <w:t>.2.6,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F13AE3">
        <w:t xml:space="preserve"> в</w:t>
      </w:r>
      <w:r w:rsidRPr="00710B48">
        <w:t xml:space="preserve"> размере 100 000 (сто тысяч)  рублей, в течение 10 (десяти) рабочих дней с момента получения уведомления от </w:t>
      </w:r>
      <w:r w:rsidRPr="00710B48">
        <w:lastRenderedPageBreak/>
        <w:t>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rsidR="00F13AE3">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13AE3">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25A6C">
        <w:t>6.7</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710B48">
        <w:lastRenderedPageBreak/>
        <w:t>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lastRenderedPageBreak/>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3F53"/>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3894"/>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5A6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F87A6-83AD-4939-8371-6A500169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8592</Words>
  <Characters>63846</Characters>
  <Application>Microsoft Office Word</Application>
  <DocSecurity>0</DocSecurity>
  <Lines>532</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72294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18</cp:revision>
  <cp:lastPrinted>2015-02-17T06:57:00Z</cp:lastPrinted>
  <dcterms:created xsi:type="dcterms:W3CDTF">2017-07-12T06:15:00Z</dcterms:created>
  <dcterms:modified xsi:type="dcterms:W3CDTF">2017-09-07T05:55:00Z</dcterms:modified>
</cp:coreProperties>
</file>