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3689C">
        <w:rPr>
          <w:b/>
          <w:bCs/>
          <w:iCs/>
          <w:snapToGrid/>
          <w:spacing w:val="40"/>
          <w:sz w:val="29"/>
          <w:szCs w:val="29"/>
        </w:rPr>
        <w:t>567/МКС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73689C" w:rsidRPr="0073689C">
        <w:rPr>
          <w:b/>
          <w:bCs/>
          <w:i/>
          <w:szCs w:val="28"/>
        </w:rPr>
        <w:t>«Гаражное оборудование»</w:t>
      </w:r>
      <w:r w:rsidR="0073689C" w:rsidRPr="0073689C">
        <w:rPr>
          <w:b/>
          <w:i/>
          <w:snapToGrid w:val="0"/>
          <w:szCs w:val="28"/>
        </w:rPr>
        <w:t xml:space="preserve"> </w:t>
      </w:r>
      <w:r w:rsidR="0073689C" w:rsidRPr="0073689C">
        <w:rPr>
          <w:b/>
          <w:bCs/>
          <w:szCs w:val="28"/>
        </w:rPr>
        <w:t>закупка 1060</w:t>
      </w:r>
      <w:r w:rsidR="0073689C" w:rsidRPr="0073689C">
        <w:rPr>
          <w:b/>
          <w:bCs/>
          <w:i/>
          <w:iCs/>
          <w:snapToGrid w:val="0"/>
          <w:szCs w:val="28"/>
        </w:rPr>
        <w:t xml:space="preserve"> </w:t>
      </w:r>
      <w:r w:rsidR="0073689C" w:rsidRPr="0073689C">
        <w:rPr>
          <w:b/>
          <w:bCs/>
          <w:szCs w:val="28"/>
        </w:rPr>
        <w:t xml:space="preserve"> раздел 2.1.2 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0382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3829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89C">
              <w:rPr>
                <w:rFonts w:ascii="Times New Roman" w:hAnsi="Times New Roman"/>
                <w:sz w:val="24"/>
                <w:szCs w:val="24"/>
              </w:rPr>
              <w:t xml:space="preserve">сентября  </w:t>
            </w:r>
            <w:r w:rsidR="00A43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43F53" w:rsidRDefault="00CA7529" w:rsidP="00B97A11">
      <w:pPr>
        <w:pStyle w:val="Tableheader"/>
        <w:ind w:firstLine="426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B97A11" w:rsidRPr="00A43F53">
        <w:rPr>
          <w:i/>
          <w:snapToGrid w:val="0"/>
          <w:sz w:val="25"/>
          <w:szCs w:val="25"/>
        </w:rPr>
        <w:t>«</w:t>
      </w:r>
      <w:r w:rsidR="0073689C">
        <w:rPr>
          <w:i/>
          <w:color w:val="000000" w:themeColor="text1"/>
          <w:sz w:val="25"/>
          <w:szCs w:val="25"/>
        </w:rPr>
        <w:t>Гаражное оборудование</w:t>
      </w:r>
      <w:r w:rsidR="00B97A11" w:rsidRPr="00A43F53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A43F53">
      <w:pPr>
        <w:pStyle w:val="a6"/>
        <w:spacing w:before="0" w:line="240" w:lineRule="auto"/>
        <w:ind w:firstLine="426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689C" w:rsidRPr="0073689C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73689C">
        <w:rPr>
          <w:bCs/>
          <w:i/>
          <w:iCs/>
          <w:snapToGrid/>
          <w:sz w:val="25"/>
          <w:szCs w:val="25"/>
        </w:rPr>
        <w:t xml:space="preserve">О </w:t>
      </w:r>
      <w:r w:rsidRPr="0073689C">
        <w:rPr>
          <w:b/>
          <w:bCs/>
          <w:i/>
          <w:iCs/>
          <w:snapToGrid/>
          <w:sz w:val="25"/>
          <w:szCs w:val="25"/>
        </w:rPr>
        <w:t xml:space="preserve"> </w:t>
      </w:r>
      <w:r w:rsidRPr="0073689C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73689C" w:rsidRPr="0073689C" w:rsidRDefault="0073689C" w:rsidP="0073689C">
      <w:pPr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contextualSpacing/>
        <w:rPr>
          <w:bCs/>
          <w:i/>
          <w:iCs/>
          <w:snapToGrid/>
          <w:sz w:val="25"/>
          <w:szCs w:val="25"/>
        </w:rPr>
      </w:pPr>
      <w:r w:rsidRPr="0073689C">
        <w:rPr>
          <w:bCs/>
          <w:i/>
          <w:iCs/>
          <w:snapToGrid/>
          <w:sz w:val="25"/>
          <w:szCs w:val="25"/>
        </w:rPr>
        <w:t xml:space="preserve">Об отклонении заявки участника ООО </w:t>
      </w:r>
      <w:r w:rsidRPr="0073689C">
        <w:rPr>
          <w:rFonts w:eastAsia="Calibri"/>
          <w:b/>
          <w:i/>
          <w:snapToGrid/>
          <w:sz w:val="25"/>
          <w:szCs w:val="25"/>
          <w:lang w:eastAsia="en-US"/>
        </w:rPr>
        <w:t>«Торговый Дом «Имидж»</w:t>
      </w:r>
    </w:p>
    <w:p w:rsidR="0073689C" w:rsidRPr="0073689C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73689C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73689C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73689C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73689C" w:rsidRPr="0073689C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73689C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73689C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73689C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73689C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73689C">
        <w:rPr>
          <w:bCs/>
          <w:i/>
          <w:iCs/>
          <w:snapToGrid/>
          <w:sz w:val="25"/>
          <w:szCs w:val="25"/>
        </w:rPr>
        <w:t xml:space="preserve"> заявок.</w:t>
      </w:r>
    </w:p>
    <w:p w:rsidR="0073689C" w:rsidRPr="0073689C" w:rsidRDefault="0073689C" w:rsidP="0073689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73689C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73689C" w:rsidRPr="000362D4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</w:rPr>
      </w:pPr>
      <w:r w:rsidRPr="000362D4">
        <w:rPr>
          <w:szCs w:val="24"/>
        </w:rPr>
        <w:t>Признать объем полученной информации достаточным для принятия решения.</w:t>
      </w:r>
    </w:p>
    <w:p w:rsidR="0073689C" w:rsidRPr="000362D4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  <w:shd w:val="clear" w:color="auto" w:fill="FFFF99"/>
        </w:rPr>
      </w:pPr>
      <w:r w:rsidRPr="000362D4">
        <w:rPr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4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87"/>
        <w:gridCol w:w="11"/>
        <w:gridCol w:w="3312"/>
        <w:gridCol w:w="11"/>
      </w:tblGrid>
      <w:tr w:rsidR="0073689C" w:rsidRPr="00802D25" w:rsidTr="00395868">
        <w:trPr>
          <w:trHeight w:val="70"/>
        </w:trPr>
        <w:tc>
          <w:tcPr>
            <w:tcW w:w="425" w:type="dxa"/>
          </w:tcPr>
          <w:p w:rsidR="0073689C" w:rsidRPr="002263B6" w:rsidRDefault="0073689C" w:rsidP="00395868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63B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698" w:type="dxa"/>
            <w:gridSpan w:val="2"/>
          </w:tcPr>
          <w:p w:rsidR="0073689C" w:rsidRPr="002263B6" w:rsidRDefault="0073689C" w:rsidP="00395868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63B6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323" w:type="dxa"/>
            <w:gridSpan w:val="2"/>
          </w:tcPr>
          <w:p w:rsidR="0073689C" w:rsidRPr="002263B6" w:rsidRDefault="0073689C" w:rsidP="00395868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63B6">
              <w:rPr>
                <w:b/>
                <w:bCs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</w:tr>
      <w:tr w:rsidR="0073689C" w:rsidRPr="00802D25" w:rsidTr="00395868">
        <w:trPr>
          <w:gridAfter w:val="1"/>
          <w:wAfter w:w="11" w:type="dxa"/>
          <w:trHeight w:val="70"/>
        </w:trPr>
        <w:tc>
          <w:tcPr>
            <w:tcW w:w="425" w:type="dxa"/>
          </w:tcPr>
          <w:p w:rsidR="0073689C" w:rsidRPr="00BB13F4" w:rsidRDefault="0073689C" w:rsidP="00395868">
            <w:pPr>
              <w:ind w:firstLine="0"/>
              <w:rPr>
                <w:sz w:val="24"/>
                <w:szCs w:val="24"/>
              </w:rPr>
            </w:pPr>
            <w:r w:rsidRPr="00BB13F4">
              <w:rPr>
                <w:sz w:val="24"/>
                <w:szCs w:val="24"/>
              </w:rPr>
              <w:t>1</w:t>
            </w:r>
          </w:p>
        </w:tc>
        <w:tc>
          <w:tcPr>
            <w:tcW w:w="5687" w:type="dxa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B13F4">
              <w:rPr>
                <w:b/>
                <w:i/>
                <w:sz w:val="23"/>
                <w:szCs w:val="23"/>
              </w:rPr>
              <w:t xml:space="preserve">Общество с ограниченной ответственностью ПКП 'РИТМ' </w:t>
            </w:r>
            <w:r w:rsidRPr="00BB13F4">
              <w:rPr>
                <w:sz w:val="23"/>
                <w:szCs w:val="23"/>
              </w:rPr>
              <w:t xml:space="preserve">(675029, Российская Федерация, Амурская область, Благовещенск, Заводская </w:t>
            </w:r>
            <w:proofErr w:type="spellStart"/>
            <w:proofErr w:type="gramStart"/>
            <w:r>
              <w:rPr>
                <w:sz w:val="23"/>
                <w:szCs w:val="23"/>
              </w:rPr>
              <w:t>ул</w:t>
            </w:r>
            <w:proofErr w:type="spellEnd"/>
            <w:proofErr w:type="gramEnd"/>
            <w:r>
              <w:rPr>
                <w:sz w:val="23"/>
                <w:szCs w:val="23"/>
              </w:rPr>
              <w:t>, 154 офис (квартира) 32</w:t>
            </w:r>
            <w:r w:rsidRPr="00BB13F4">
              <w:rPr>
                <w:sz w:val="23"/>
                <w:szCs w:val="23"/>
              </w:rPr>
              <w:t xml:space="preserve">)ИНН/КПП 2801103900/280101001 </w:t>
            </w:r>
            <w:r w:rsidRPr="00BB13F4">
              <w:rPr>
                <w:sz w:val="23"/>
                <w:szCs w:val="23"/>
              </w:rPr>
              <w:br/>
              <w:t>ОГРН 1052800055076</w:t>
            </w:r>
          </w:p>
        </w:tc>
        <w:tc>
          <w:tcPr>
            <w:tcW w:w="3323" w:type="dxa"/>
            <w:gridSpan w:val="2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Заявка, подана 23.08.2017 г.  в 06:04</w:t>
            </w:r>
          </w:p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Цена 700 000,00  руб.  НДС  не предусмотрен</w:t>
            </w:r>
          </w:p>
        </w:tc>
      </w:tr>
      <w:tr w:rsidR="0073689C" w:rsidRPr="00802D25" w:rsidTr="00395868">
        <w:trPr>
          <w:gridAfter w:val="1"/>
          <w:wAfter w:w="11" w:type="dxa"/>
          <w:trHeight w:val="70"/>
        </w:trPr>
        <w:tc>
          <w:tcPr>
            <w:tcW w:w="425" w:type="dxa"/>
          </w:tcPr>
          <w:p w:rsidR="0073689C" w:rsidRPr="00BB13F4" w:rsidRDefault="0073689C" w:rsidP="00395868">
            <w:pPr>
              <w:ind w:firstLine="0"/>
              <w:rPr>
                <w:sz w:val="24"/>
                <w:szCs w:val="24"/>
              </w:rPr>
            </w:pPr>
            <w:r w:rsidRPr="00BB13F4">
              <w:rPr>
                <w:sz w:val="24"/>
                <w:szCs w:val="24"/>
              </w:rPr>
              <w:t>2</w:t>
            </w:r>
          </w:p>
        </w:tc>
        <w:tc>
          <w:tcPr>
            <w:tcW w:w="5687" w:type="dxa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B13F4">
              <w:rPr>
                <w:b/>
                <w:i/>
                <w:sz w:val="23"/>
                <w:szCs w:val="23"/>
              </w:rPr>
              <w:t>Общество с ограниченной ответственностью «Торговый Дом «Имидж»</w:t>
            </w:r>
            <w:r w:rsidRPr="00BB13F4">
              <w:rPr>
                <w:sz w:val="23"/>
                <w:szCs w:val="23"/>
              </w:rPr>
              <w:t xml:space="preserve"> (675000, Российская Федерация, Амурская область, Благовещенск г, Амурская </w:t>
            </w:r>
            <w:proofErr w:type="spellStart"/>
            <w:proofErr w:type="gramStart"/>
            <w:r w:rsidRPr="00BB13F4">
              <w:rPr>
                <w:sz w:val="23"/>
                <w:szCs w:val="23"/>
              </w:rPr>
              <w:t>ул</w:t>
            </w:r>
            <w:proofErr w:type="spellEnd"/>
            <w:proofErr w:type="gramEnd"/>
            <w:r w:rsidRPr="00BB13F4">
              <w:rPr>
                <w:sz w:val="23"/>
                <w:szCs w:val="23"/>
              </w:rPr>
              <w:t>, 69)</w:t>
            </w:r>
            <w:r>
              <w:rPr>
                <w:sz w:val="23"/>
                <w:szCs w:val="23"/>
              </w:rPr>
              <w:t xml:space="preserve"> </w:t>
            </w:r>
            <w:r w:rsidRPr="00BB13F4">
              <w:rPr>
                <w:sz w:val="23"/>
                <w:szCs w:val="23"/>
              </w:rPr>
              <w:t xml:space="preserve">ИНН/КПП 2801202940/280101001 </w:t>
            </w:r>
            <w:r w:rsidRPr="00BB13F4">
              <w:rPr>
                <w:sz w:val="23"/>
                <w:szCs w:val="23"/>
              </w:rPr>
              <w:br/>
              <w:t>ОГРН 1142801010637</w:t>
            </w:r>
          </w:p>
        </w:tc>
        <w:tc>
          <w:tcPr>
            <w:tcW w:w="3323" w:type="dxa"/>
            <w:gridSpan w:val="2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Заявка, подана 24.08.2017 г.  в 06:58</w:t>
            </w:r>
          </w:p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Цена 710 729,40    НДС  не предусмотрен</w:t>
            </w:r>
          </w:p>
        </w:tc>
      </w:tr>
      <w:tr w:rsidR="0073689C" w:rsidRPr="00802D25" w:rsidTr="00395868">
        <w:trPr>
          <w:gridAfter w:val="1"/>
          <w:wAfter w:w="11" w:type="dxa"/>
          <w:trHeight w:val="70"/>
        </w:trPr>
        <w:tc>
          <w:tcPr>
            <w:tcW w:w="425" w:type="dxa"/>
          </w:tcPr>
          <w:p w:rsidR="0073689C" w:rsidRPr="00BB13F4" w:rsidRDefault="0073689C" w:rsidP="00395868">
            <w:pPr>
              <w:ind w:firstLine="0"/>
              <w:rPr>
                <w:sz w:val="24"/>
                <w:szCs w:val="24"/>
              </w:rPr>
            </w:pPr>
            <w:r w:rsidRPr="00BB13F4">
              <w:rPr>
                <w:sz w:val="24"/>
                <w:szCs w:val="24"/>
              </w:rPr>
              <w:t>3</w:t>
            </w:r>
          </w:p>
        </w:tc>
        <w:tc>
          <w:tcPr>
            <w:tcW w:w="5687" w:type="dxa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B13F4">
              <w:rPr>
                <w:b/>
                <w:i/>
                <w:sz w:val="23"/>
                <w:szCs w:val="23"/>
              </w:rPr>
              <w:t>ИП Мельников Николай Николаевич</w:t>
            </w:r>
            <w:r w:rsidRPr="00BB13F4">
              <w:rPr>
                <w:sz w:val="23"/>
                <w:szCs w:val="23"/>
              </w:rPr>
              <w:t xml:space="preserve">  (675016, Российская Федерация, Амурская область, Благовещенск, Богдана Хмельницкого </w:t>
            </w:r>
            <w:proofErr w:type="spellStart"/>
            <w:proofErr w:type="gramStart"/>
            <w:r w:rsidRPr="00BB13F4">
              <w:rPr>
                <w:sz w:val="23"/>
                <w:szCs w:val="23"/>
              </w:rPr>
              <w:t>ул</w:t>
            </w:r>
            <w:proofErr w:type="spellEnd"/>
            <w:proofErr w:type="gramEnd"/>
            <w:r w:rsidRPr="00BB13F4">
              <w:rPr>
                <w:sz w:val="23"/>
                <w:szCs w:val="23"/>
              </w:rPr>
              <w:t>/</w:t>
            </w:r>
            <w:proofErr w:type="spellStart"/>
            <w:r w:rsidRPr="00BB13F4">
              <w:rPr>
                <w:sz w:val="23"/>
                <w:szCs w:val="23"/>
              </w:rPr>
              <w:t>Забурхановская</w:t>
            </w:r>
            <w:proofErr w:type="spellEnd"/>
            <w:r w:rsidRPr="00BB13F4">
              <w:rPr>
                <w:sz w:val="23"/>
                <w:szCs w:val="23"/>
              </w:rPr>
              <w:t>, 77/58)</w:t>
            </w:r>
            <w:r>
              <w:rPr>
                <w:sz w:val="23"/>
                <w:szCs w:val="23"/>
              </w:rPr>
              <w:t xml:space="preserve"> </w:t>
            </w:r>
            <w:r w:rsidRPr="00BB13F4">
              <w:rPr>
                <w:sz w:val="23"/>
                <w:szCs w:val="23"/>
              </w:rPr>
              <w:t xml:space="preserve">ИНН/КПП 280128030492/ </w:t>
            </w:r>
            <w:r w:rsidRPr="00BB13F4">
              <w:rPr>
                <w:sz w:val="23"/>
                <w:szCs w:val="23"/>
              </w:rPr>
              <w:br/>
              <w:t>ОГРН 304280128100066</w:t>
            </w:r>
          </w:p>
        </w:tc>
        <w:tc>
          <w:tcPr>
            <w:tcW w:w="3323" w:type="dxa"/>
            <w:gridSpan w:val="2"/>
            <w:vAlign w:val="center"/>
          </w:tcPr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Заявка, подана 25.08.2017 г.  в 04:41</w:t>
            </w:r>
          </w:p>
          <w:p w:rsidR="0073689C" w:rsidRPr="00BB13F4" w:rsidRDefault="0073689C" w:rsidP="003958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BB13F4">
              <w:rPr>
                <w:sz w:val="23"/>
                <w:szCs w:val="23"/>
              </w:rPr>
              <w:t>Цена 615 338,98  руб.  без НДС  (726 100,00 руб. с НДС)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689C">
        <w:rPr>
          <w:b/>
          <w:bCs/>
          <w:i/>
          <w:iCs/>
          <w:snapToGrid/>
          <w:sz w:val="24"/>
          <w:szCs w:val="24"/>
        </w:rPr>
        <w:lastRenderedPageBreak/>
        <w:t>ВОПРОС № 2.</w:t>
      </w:r>
      <w:r w:rsidRPr="0073689C">
        <w:rPr>
          <w:snapToGrid/>
          <w:sz w:val="24"/>
          <w:szCs w:val="24"/>
        </w:rPr>
        <w:t xml:space="preserve"> </w:t>
      </w:r>
      <w:r w:rsidRPr="0073689C">
        <w:rPr>
          <w:b/>
          <w:bCs/>
          <w:i/>
          <w:iCs/>
          <w:snapToGrid/>
          <w:sz w:val="24"/>
          <w:szCs w:val="24"/>
        </w:rPr>
        <w:t>Об отклонении заявки участника ООО «Торговый Дом «Имидж»</w:t>
      </w:r>
    </w:p>
    <w:p w:rsidR="0073689C" w:rsidRPr="0073689C" w:rsidRDefault="0073689C" w:rsidP="0073689C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73689C">
        <w:rPr>
          <w:snapToGrid/>
          <w:sz w:val="24"/>
          <w:szCs w:val="24"/>
        </w:rPr>
        <w:t xml:space="preserve">Отклонить заявку Участника </w:t>
      </w:r>
      <w:r w:rsidRPr="0073689C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«Торговый Дом «Имидж»</w:t>
      </w:r>
      <w:r w:rsidRPr="0073689C">
        <w:rPr>
          <w:rFonts w:eastAsia="Calibri"/>
          <w:snapToGrid/>
          <w:sz w:val="24"/>
          <w:szCs w:val="24"/>
          <w:lang w:eastAsia="en-US"/>
        </w:rPr>
        <w:t xml:space="preserve"> (675000, Российская Федерация, Амурская область, Благовещенск г, Амурская </w:t>
      </w:r>
      <w:proofErr w:type="spellStart"/>
      <w:proofErr w:type="gramStart"/>
      <w:r w:rsidRPr="0073689C">
        <w:rPr>
          <w:rFonts w:eastAsia="Calibr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73689C">
        <w:rPr>
          <w:rFonts w:eastAsia="Calibri"/>
          <w:snapToGrid/>
          <w:sz w:val="24"/>
          <w:szCs w:val="24"/>
          <w:lang w:eastAsia="en-US"/>
        </w:rPr>
        <w:t xml:space="preserve">, 69) </w:t>
      </w:r>
      <w:r w:rsidRPr="0073689C">
        <w:rPr>
          <w:snapToGrid/>
          <w:sz w:val="24"/>
          <w:szCs w:val="24"/>
        </w:rPr>
        <w:t xml:space="preserve">от дальнейшего рассмотрения на основании </w:t>
      </w:r>
      <w:r w:rsidRPr="0073689C">
        <w:rPr>
          <w:bCs/>
          <w:snapToGrid/>
          <w:sz w:val="24"/>
          <w:szCs w:val="24"/>
        </w:rPr>
        <w:t>п. 2.8.2.5.</w:t>
      </w:r>
      <w:r w:rsidRPr="0073689C">
        <w:rPr>
          <w:snapToGrid/>
          <w:sz w:val="24"/>
          <w:szCs w:val="24"/>
        </w:rPr>
        <w:t xml:space="preserve"> «а, б, в» Документации о закупке.  </w:t>
      </w:r>
      <w:r w:rsidRPr="0073689C">
        <w:rPr>
          <w:bCs/>
          <w:snapToGrid/>
          <w:sz w:val="24"/>
          <w:szCs w:val="24"/>
        </w:rPr>
        <w:t xml:space="preserve">п. 2 раздела I, 1-4 раздела </w:t>
      </w:r>
      <w:r w:rsidRPr="0073689C">
        <w:rPr>
          <w:bCs/>
          <w:snapToGrid/>
          <w:sz w:val="24"/>
          <w:szCs w:val="24"/>
          <w:lang w:val="en-US"/>
        </w:rPr>
        <w:t>II</w:t>
      </w:r>
      <w:r w:rsidRPr="0073689C">
        <w:rPr>
          <w:bCs/>
          <w:snapToGrid/>
          <w:sz w:val="24"/>
          <w:szCs w:val="24"/>
        </w:rPr>
        <w:t xml:space="preserve">, </w:t>
      </w:r>
      <w:r w:rsidRPr="0073689C">
        <w:rPr>
          <w:snapToGrid/>
          <w:sz w:val="24"/>
          <w:szCs w:val="24"/>
        </w:rPr>
        <w:t xml:space="preserve"> </w:t>
      </w:r>
      <w:r w:rsidRPr="0073689C">
        <w:rPr>
          <w:sz w:val="24"/>
          <w:szCs w:val="24"/>
        </w:rPr>
        <w:t>п. 7</w:t>
      </w:r>
      <w:r w:rsidRPr="0073689C">
        <w:rPr>
          <w:bCs/>
          <w:snapToGrid/>
          <w:sz w:val="24"/>
          <w:szCs w:val="24"/>
        </w:rPr>
        <w:t xml:space="preserve"> раздела </w:t>
      </w:r>
      <w:r w:rsidRPr="0073689C">
        <w:rPr>
          <w:bCs/>
          <w:snapToGrid/>
          <w:sz w:val="24"/>
          <w:szCs w:val="24"/>
          <w:lang w:val="en-US"/>
        </w:rPr>
        <w:t>II</w:t>
      </w:r>
      <w:r w:rsidRPr="0073689C">
        <w:rPr>
          <w:bCs/>
          <w:snapToGrid/>
          <w:sz w:val="24"/>
          <w:szCs w:val="24"/>
        </w:rPr>
        <w:t xml:space="preserve">,  </w:t>
      </w:r>
      <w:r w:rsidRPr="0073689C">
        <w:rPr>
          <w:rFonts w:eastAsia="Calibri"/>
          <w:snapToGrid/>
          <w:sz w:val="24"/>
          <w:szCs w:val="24"/>
          <w:lang w:eastAsia="en-US"/>
        </w:rPr>
        <w:t xml:space="preserve">п.6 раздела </w:t>
      </w:r>
      <w:r w:rsidRPr="0073689C">
        <w:rPr>
          <w:rFonts w:eastAsia="Calibri"/>
          <w:snapToGrid/>
          <w:sz w:val="24"/>
          <w:szCs w:val="24"/>
          <w:lang w:val="en-US" w:eastAsia="en-US"/>
        </w:rPr>
        <w:t>II</w:t>
      </w:r>
      <w:r w:rsidRPr="0073689C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73689C">
        <w:rPr>
          <w:snapToGrid/>
          <w:sz w:val="24"/>
          <w:szCs w:val="24"/>
        </w:rPr>
        <w:t>Технического задания</w:t>
      </w:r>
      <w:r w:rsidRPr="0073689C">
        <w:rPr>
          <w:rFonts w:eastAsia="Calibri"/>
          <w:snapToGrid/>
          <w:sz w:val="24"/>
          <w:szCs w:val="24"/>
          <w:lang w:eastAsia="en-US"/>
        </w:rPr>
        <w:t xml:space="preserve">  и п. 4 </w:t>
      </w:r>
      <w:proofErr w:type="spellStart"/>
      <w:r w:rsidRPr="0073689C">
        <w:rPr>
          <w:rFonts w:eastAsia="Calibri"/>
          <w:snapToGrid/>
          <w:sz w:val="24"/>
          <w:szCs w:val="24"/>
          <w:lang w:eastAsia="en-US"/>
        </w:rPr>
        <w:t>пп</w:t>
      </w:r>
      <w:proofErr w:type="spellEnd"/>
      <w:r w:rsidRPr="0073689C">
        <w:rPr>
          <w:rFonts w:eastAsia="Calibri"/>
          <w:snapToGrid/>
          <w:sz w:val="24"/>
          <w:szCs w:val="24"/>
          <w:lang w:eastAsia="en-US"/>
        </w:rPr>
        <w:t xml:space="preserve"> 4.3.  Проекта договора</w:t>
      </w:r>
      <w:r w:rsidRPr="0073689C">
        <w:rPr>
          <w:snapToGrid/>
          <w:sz w:val="24"/>
          <w:szCs w:val="24"/>
        </w:rPr>
        <w:t>.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73689C" w:rsidRPr="0073689C" w:rsidTr="00395868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73689C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689C" w:rsidRPr="0073689C" w:rsidTr="00395868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708"/>
              </w:tabs>
              <w:autoSpaceDE w:val="0"/>
              <w:autoSpaceDN w:val="0"/>
              <w:spacing w:line="240" w:lineRule="auto"/>
              <w:ind w:firstLine="0"/>
              <w:rPr>
                <w:b/>
                <w:bCs/>
                <w:iCs/>
                <w:snapToGrid/>
                <w:sz w:val="23"/>
                <w:szCs w:val="23"/>
                <w:u w:val="single"/>
              </w:rPr>
            </w:pPr>
            <w:r w:rsidRPr="0073689C">
              <w:rPr>
                <w:b/>
                <w:bCs/>
                <w:iCs/>
                <w:snapToGrid/>
                <w:sz w:val="23"/>
                <w:szCs w:val="23"/>
                <w:u w:val="single"/>
              </w:rPr>
              <w:t xml:space="preserve"> В </w:t>
            </w:r>
            <w:proofErr w:type="gramStart"/>
            <w:r w:rsidRPr="0073689C">
              <w:rPr>
                <w:b/>
                <w:bCs/>
                <w:iCs/>
                <w:snapToGrid/>
                <w:sz w:val="23"/>
                <w:szCs w:val="23"/>
                <w:u w:val="single"/>
              </w:rPr>
              <w:t>составе</w:t>
            </w:r>
            <w:proofErr w:type="gramEnd"/>
            <w:r w:rsidRPr="0073689C">
              <w:rPr>
                <w:b/>
                <w:bCs/>
                <w:iCs/>
                <w:snapToGrid/>
                <w:sz w:val="23"/>
                <w:szCs w:val="23"/>
                <w:u w:val="single"/>
              </w:rPr>
              <w:t xml:space="preserve"> заявки отсутствуют документы: </w:t>
            </w:r>
          </w:p>
          <w:p w:rsidR="0073689C" w:rsidRPr="0073689C" w:rsidRDefault="0073689C" w:rsidP="0073689C">
            <w:pPr>
              <w:numPr>
                <w:ilvl w:val="0"/>
                <w:numId w:val="34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proofErr w:type="gramStart"/>
            <w:r w:rsidRPr="0073689C">
              <w:rPr>
                <w:sz w:val="23"/>
                <w:szCs w:val="23"/>
              </w:rPr>
              <w:t xml:space="preserve">Выписка из Единого государственного реестра юридических лиц/ индивидуальных предпринимателей (далее – Выписка)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позднее 1 (одного) месяца до даты окончания подачи заявок на участие в закупке, 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«а» п</w:t>
            </w:r>
            <w:proofErr w:type="gramEnd"/>
            <w:r w:rsidRPr="0073689C">
              <w:rPr>
                <w:sz w:val="23"/>
                <w:szCs w:val="23"/>
              </w:rPr>
              <w:t>. 2.5.4.1 Документации о закупке.</w:t>
            </w:r>
          </w:p>
          <w:p w:rsidR="0073689C" w:rsidRPr="0073689C" w:rsidRDefault="0073689C" w:rsidP="0073689C">
            <w:pPr>
              <w:numPr>
                <w:ilvl w:val="0"/>
                <w:numId w:val="35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r w:rsidRPr="0073689C">
              <w:rPr>
                <w:sz w:val="23"/>
                <w:szCs w:val="23"/>
              </w:rPr>
              <w:t xml:space="preserve">Копия Устава в действующей редакции с отметкой ИФНС либо копию нотариально заверенного Устава (с отметкой нотариуса),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«б» п.2.5.4.1 Документации о закупке.</w:t>
            </w:r>
          </w:p>
          <w:p w:rsidR="0073689C" w:rsidRPr="0073689C" w:rsidRDefault="0073689C" w:rsidP="0073689C">
            <w:pPr>
              <w:numPr>
                <w:ilvl w:val="0"/>
                <w:numId w:val="36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r w:rsidRPr="0073689C">
              <w:rPr>
                <w:sz w:val="23"/>
                <w:szCs w:val="23"/>
              </w:rPr>
              <w:t xml:space="preserve"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компании). Если заявка подписывается по доверенности, предоставляется копия оригинала доверенности либо копия нотариально заверенной доверенности (с указанием правомочий на подписание заявки),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«в, </w:t>
            </w:r>
            <w:proofErr w:type="gramStart"/>
            <w:r w:rsidRPr="0073689C">
              <w:rPr>
                <w:sz w:val="23"/>
                <w:szCs w:val="23"/>
              </w:rPr>
              <w:t>г</w:t>
            </w:r>
            <w:proofErr w:type="gramEnd"/>
            <w:r w:rsidRPr="0073689C">
              <w:rPr>
                <w:sz w:val="23"/>
                <w:szCs w:val="23"/>
              </w:rPr>
              <w:t>» п.2.5.4.1 Документации о закупке.</w:t>
            </w:r>
          </w:p>
          <w:p w:rsidR="0073689C" w:rsidRPr="0073689C" w:rsidRDefault="0073689C" w:rsidP="0073689C">
            <w:pPr>
              <w:numPr>
                <w:ilvl w:val="0"/>
                <w:numId w:val="36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r w:rsidRPr="0073689C">
              <w:rPr>
                <w:sz w:val="23"/>
                <w:szCs w:val="23"/>
              </w:rPr>
              <w:t>Копия Справки из ИФНС об отсутствии задолженности по налогам и сборам</w:t>
            </w:r>
            <w:proofErr w:type="gramStart"/>
            <w:r w:rsidRPr="0073689C">
              <w:rPr>
                <w:sz w:val="23"/>
                <w:szCs w:val="23"/>
              </w:rPr>
              <w:t>.</w:t>
            </w:r>
            <w:proofErr w:type="gramEnd"/>
            <w:r w:rsidRPr="0073689C">
              <w:rPr>
                <w:sz w:val="23"/>
                <w:szCs w:val="23"/>
              </w:rPr>
              <w:t xml:space="preserve"> (</w:t>
            </w:r>
            <w:proofErr w:type="gramStart"/>
            <w:r w:rsidRPr="0073689C">
              <w:rPr>
                <w:sz w:val="23"/>
                <w:szCs w:val="23"/>
              </w:rPr>
              <w:t>к</w:t>
            </w:r>
            <w:proofErr w:type="gramEnd"/>
            <w:r w:rsidRPr="0073689C">
              <w:rPr>
                <w:sz w:val="23"/>
                <w:szCs w:val="23"/>
              </w:rPr>
              <w:t xml:space="preserve">од по КНД 1120101), что не соответствует требованиям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>. «д» п. 2.5.4.1 Документации о закупке</w:t>
            </w:r>
          </w:p>
          <w:p w:rsidR="0073689C" w:rsidRPr="0073689C" w:rsidRDefault="0073689C" w:rsidP="0073689C">
            <w:pPr>
              <w:numPr>
                <w:ilvl w:val="0"/>
                <w:numId w:val="37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r w:rsidRPr="0073689C">
              <w:rPr>
                <w:sz w:val="23"/>
                <w:szCs w:val="23"/>
              </w:rPr>
              <w:t xml:space="preserve">Копия обязательной бухгалтерской (финансовой) </w:t>
            </w:r>
            <w:proofErr w:type="spellStart"/>
            <w:r w:rsidRPr="0073689C">
              <w:rPr>
                <w:sz w:val="23"/>
                <w:szCs w:val="23"/>
              </w:rPr>
              <w:t>отчетности</w:t>
            </w:r>
            <w:proofErr w:type="spellEnd"/>
            <w:r w:rsidRPr="0073689C">
              <w:rPr>
                <w:sz w:val="23"/>
                <w:szCs w:val="23"/>
              </w:rPr>
              <w:t xml:space="preserve"> за предпоследний и последний </w:t>
            </w:r>
            <w:proofErr w:type="spellStart"/>
            <w:r w:rsidRPr="0073689C">
              <w:rPr>
                <w:sz w:val="23"/>
                <w:szCs w:val="23"/>
              </w:rPr>
              <w:t>завершенные</w:t>
            </w:r>
            <w:proofErr w:type="spellEnd"/>
            <w:r w:rsidRPr="0073689C">
              <w:rPr>
                <w:sz w:val="23"/>
                <w:szCs w:val="23"/>
              </w:rPr>
              <w:t xml:space="preserve"> финансовые годы – копии бухгалтерских балансов с отметкой налогового органа о </w:t>
            </w:r>
            <w:proofErr w:type="spellStart"/>
            <w:r w:rsidRPr="0073689C">
              <w:rPr>
                <w:sz w:val="23"/>
                <w:szCs w:val="23"/>
              </w:rPr>
              <w:t>приеме</w:t>
            </w:r>
            <w:proofErr w:type="spellEnd"/>
            <w:r w:rsidRPr="0073689C">
              <w:rPr>
                <w:sz w:val="23"/>
                <w:szCs w:val="23"/>
              </w:rPr>
              <w:t xml:space="preserve"> или, в случае представления </w:t>
            </w:r>
            <w:proofErr w:type="spellStart"/>
            <w:r w:rsidRPr="0073689C">
              <w:rPr>
                <w:sz w:val="23"/>
                <w:szCs w:val="23"/>
              </w:rPr>
              <w:t>отчетности</w:t>
            </w:r>
            <w:proofErr w:type="spellEnd"/>
            <w:r w:rsidRPr="0073689C">
              <w:rPr>
                <w:sz w:val="23"/>
                <w:szCs w:val="23"/>
              </w:rPr>
              <w:t xml:space="preserve"> в налоговую инспекцию в электронном виде, с приложением квитанции о </w:t>
            </w:r>
            <w:proofErr w:type="spellStart"/>
            <w:r w:rsidRPr="0073689C">
              <w:rPr>
                <w:sz w:val="23"/>
                <w:szCs w:val="23"/>
              </w:rPr>
              <w:t>приеме</w:t>
            </w:r>
            <w:proofErr w:type="spellEnd"/>
            <w:r w:rsidRPr="0073689C">
              <w:rPr>
                <w:sz w:val="23"/>
                <w:szCs w:val="23"/>
              </w:rPr>
              <w:t xml:space="preserve">, 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«е» п. 2.5.4.1 Документации о закупке.</w:t>
            </w:r>
          </w:p>
          <w:p w:rsidR="0073689C" w:rsidRPr="0073689C" w:rsidRDefault="0073689C" w:rsidP="0073689C">
            <w:pPr>
              <w:numPr>
                <w:ilvl w:val="0"/>
                <w:numId w:val="37"/>
              </w:numPr>
              <w:suppressAutoHyphens/>
              <w:spacing w:line="240" w:lineRule="auto"/>
              <w:ind w:left="0" w:firstLine="426"/>
              <w:jc w:val="left"/>
              <w:rPr>
                <w:sz w:val="23"/>
                <w:szCs w:val="23"/>
              </w:rPr>
            </w:pPr>
            <w:r w:rsidRPr="0073689C">
              <w:rPr>
                <w:sz w:val="23"/>
                <w:szCs w:val="23"/>
              </w:rPr>
              <w:t xml:space="preserve">Справка о материально-технических ресурсах, которые будут использованы в рамках выполнения Договора по установленной в Документации о закупке форме, 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«з» п. 2.5.4.1 Документации о закупке.</w:t>
            </w:r>
          </w:p>
          <w:p w:rsidR="0073689C" w:rsidRPr="0073689C" w:rsidRDefault="0073689C" w:rsidP="0073689C">
            <w:pPr>
              <w:numPr>
                <w:ilvl w:val="0"/>
                <w:numId w:val="33"/>
              </w:num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left="0" w:firstLine="360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73689C">
              <w:rPr>
                <w:sz w:val="23"/>
                <w:szCs w:val="23"/>
              </w:rPr>
              <w:t xml:space="preserve">Справка о кадровых ресурсах, которые будут привлечены в ходе выполнения Договора, по установленной в Документации о закупке форме,  что не соответствует </w:t>
            </w:r>
            <w:proofErr w:type="spellStart"/>
            <w:r w:rsidRPr="0073689C">
              <w:rPr>
                <w:sz w:val="23"/>
                <w:szCs w:val="23"/>
              </w:rPr>
              <w:t>пп</w:t>
            </w:r>
            <w:proofErr w:type="spellEnd"/>
            <w:r w:rsidRPr="0073689C">
              <w:rPr>
                <w:sz w:val="23"/>
                <w:szCs w:val="23"/>
              </w:rPr>
              <w:t xml:space="preserve"> «и» п. 2.5.4.1 Документации о закупке.</w:t>
            </w:r>
          </w:p>
        </w:tc>
      </w:tr>
      <w:tr w:rsidR="0073689C" w:rsidRPr="0073689C" w:rsidTr="00395868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C" w:rsidRPr="0073689C" w:rsidRDefault="0073689C" w:rsidP="0073689C">
            <w:pPr>
              <w:suppressAutoHyphens/>
              <w:spacing w:line="240" w:lineRule="auto"/>
              <w:ind w:firstLine="0"/>
              <w:rPr>
                <w:b/>
                <w:snapToGrid/>
                <w:sz w:val="23"/>
                <w:szCs w:val="23"/>
                <w:u w:val="single"/>
              </w:rPr>
            </w:pPr>
            <w:r w:rsidRPr="0073689C">
              <w:rPr>
                <w:b/>
                <w:snapToGrid/>
                <w:sz w:val="23"/>
                <w:szCs w:val="23"/>
                <w:u w:val="single"/>
              </w:rPr>
              <w:t>Несоответствия требованиям документации о закупке:</w:t>
            </w:r>
          </w:p>
          <w:p w:rsidR="0073689C" w:rsidRPr="0073689C" w:rsidRDefault="0073689C" w:rsidP="0073689C">
            <w:pPr>
              <w:numPr>
                <w:ilvl w:val="0"/>
                <w:numId w:val="38"/>
              </w:numPr>
              <w:spacing w:line="240" w:lineRule="auto"/>
              <w:ind w:left="0" w:firstLine="426"/>
              <w:jc w:val="left"/>
              <w:rPr>
                <w:bCs/>
                <w:snapToGrid/>
                <w:sz w:val="23"/>
                <w:szCs w:val="23"/>
              </w:rPr>
            </w:pPr>
            <w:r w:rsidRPr="0073689C">
              <w:rPr>
                <w:bCs/>
                <w:snapToGrid/>
                <w:sz w:val="23"/>
                <w:szCs w:val="23"/>
              </w:rPr>
              <w:t>п. 2 раздела I ТЗ требуется шкаф для хранения инструмента и мелкого оборудования с размерами 800х400х1800, в техническом предложении участника представлен шкаф с размерами 850х400х1830, при этом допускается отклонение по размерам в пределах ± 20 мм</w:t>
            </w:r>
            <w:r w:rsidRPr="0073689C">
              <w:rPr>
                <w:snapToGrid/>
                <w:sz w:val="23"/>
                <w:szCs w:val="23"/>
              </w:rPr>
              <w:t xml:space="preserve"> </w:t>
            </w:r>
          </w:p>
          <w:p w:rsidR="0073689C" w:rsidRPr="0073689C" w:rsidRDefault="0073689C" w:rsidP="0073689C">
            <w:pPr>
              <w:numPr>
                <w:ilvl w:val="0"/>
                <w:numId w:val="38"/>
              </w:numPr>
              <w:tabs>
                <w:tab w:val="center" w:pos="0"/>
                <w:tab w:val="left" w:pos="708"/>
                <w:tab w:val="right" w:pos="8306"/>
              </w:tabs>
              <w:spacing w:line="240" w:lineRule="auto"/>
              <w:ind w:left="0" w:firstLine="426"/>
              <w:jc w:val="left"/>
              <w:rPr>
                <w:bCs/>
                <w:snapToGrid/>
                <w:sz w:val="23"/>
                <w:szCs w:val="23"/>
              </w:rPr>
            </w:pPr>
            <w:r w:rsidRPr="0073689C">
              <w:rPr>
                <w:bCs/>
                <w:snapToGrid/>
                <w:sz w:val="23"/>
                <w:szCs w:val="23"/>
              </w:rPr>
              <w:t xml:space="preserve">отсутствует информация о выполнении пунктов 1-4 раздела </w:t>
            </w:r>
            <w:r w:rsidRPr="0073689C">
              <w:rPr>
                <w:bCs/>
                <w:snapToGrid/>
                <w:sz w:val="23"/>
                <w:szCs w:val="23"/>
                <w:lang w:val="en-US"/>
              </w:rPr>
              <w:t>II</w:t>
            </w:r>
            <w:r w:rsidRPr="0073689C">
              <w:rPr>
                <w:bCs/>
                <w:snapToGrid/>
                <w:sz w:val="23"/>
                <w:szCs w:val="23"/>
              </w:rPr>
              <w:t xml:space="preserve"> ТЗ:</w:t>
            </w:r>
          </w:p>
          <w:tbl>
            <w:tblPr>
              <w:tblW w:w="6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84"/>
            </w:tblGrid>
            <w:tr w:rsidR="0073689C" w:rsidRPr="0073689C" w:rsidTr="00395868">
              <w:trPr>
                <w:trHeight w:val="247"/>
              </w:trPr>
              <w:tc>
                <w:tcPr>
                  <w:tcW w:w="69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73689C" w:rsidRPr="0073689C" w:rsidRDefault="0073689C" w:rsidP="0073689C">
                  <w:pPr>
                    <w:numPr>
                      <w:ilvl w:val="0"/>
                      <w:numId w:val="39"/>
                    </w:numPr>
                    <w:spacing w:line="240" w:lineRule="auto"/>
                    <w:jc w:val="left"/>
                    <w:rPr>
                      <w:i/>
                      <w:snapToGrid/>
                      <w:sz w:val="23"/>
                      <w:szCs w:val="23"/>
                    </w:rPr>
                  </w:pPr>
                  <w:r w:rsidRPr="0073689C">
                    <w:rPr>
                      <w:rFonts w:eastAsia="Arial Unicode MS"/>
                      <w:i/>
                      <w:snapToGrid/>
                      <w:sz w:val="23"/>
                      <w:szCs w:val="23"/>
                    </w:rPr>
                    <w:t>Грузополучатель</w:t>
                  </w:r>
                  <w:r w:rsidRPr="0073689C">
                    <w:rPr>
                      <w:rFonts w:eastAsia="Arial Unicode MS"/>
                      <w:snapToGrid/>
                      <w:sz w:val="23"/>
                      <w:szCs w:val="23"/>
                    </w:rPr>
                    <w:t>:</w:t>
                  </w:r>
                </w:p>
              </w:tc>
            </w:tr>
            <w:tr w:rsidR="0073689C" w:rsidRPr="0073689C" w:rsidTr="00395868">
              <w:trPr>
                <w:trHeight w:val="262"/>
              </w:trPr>
              <w:tc>
                <w:tcPr>
                  <w:tcW w:w="69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73689C" w:rsidRPr="0073689C" w:rsidRDefault="0073689C" w:rsidP="0073689C">
                  <w:pPr>
                    <w:numPr>
                      <w:ilvl w:val="0"/>
                      <w:numId w:val="39"/>
                    </w:numPr>
                    <w:spacing w:line="240" w:lineRule="auto"/>
                    <w:jc w:val="left"/>
                    <w:rPr>
                      <w:i/>
                      <w:snapToGrid/>
                      <w:sz w:val="23"/>
                      <w:szCs w:val="23"/>
                    </w:rPr>
                  </w:pPr>
                  <w:r w:rsidRPr="0073689C">
                    <w:rPr>
                      <w:i/>
                      <w:snapToGrid/>
                      <w:sz w:val="23"/>
                      <w:szCs w:val="23"/>
                    </w:rPr>
                    <w:t xml:space="preserve">Гарантийный период: </w:t>
                  </w:r>
                </w:p>
              </w:tc>
            </w:tr>
            <w:tr w:rsidR="0073689C" w:rsidRPr="0073689C" w:rsidTr="00395868">
              <w:trPr>
                <w:trHeight w:val="247"/>
              </w:trPr>
              <w:tc>
                <w:tcPr>
                  <w:tcW w:w="69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73689C" w:rsidRPr="0073689C" w:rsidRDefault="0073689C" w:rsidP="0073689C">
                  <w:pPr>
                    <w:numPr>
                      <w:ilvl w:val="0"/>
                      <w:numId w:val="39"/>
                    </w:numPr>
                    <w:spacing w:line="240" w:lineRule="auto"/>
                    <w:jc w:val="left"/>
                    <w:rPr>
                      <w:bCs/>
                      <w:i/>
                      <w:snapToGrid/>
                      <w:sz w:val="23"/>
                      <w:szCs w:val="23"/>
                      <w:lang w:eastAsia="en-US"/>
                    </w:rPr>
                  </w:pPr>
                  <w:r w:rsidRPr="0073689C">
                    <w:rPr>
                      <w:bCs/>
                      <w:i/>
                      <w:snapToGrid/>
                      <w:sz w:val="23"/>
                      <w:szCs w:val="23"/>
                      <w:lang w:eastAsia="en-US"/>
                    </w:rPr>
                    <w:t>Требования безопасности:</w:t>
                  </w:r>
                </w:p>
              </w:tc>
            </w:tr>
            <w:tr w:rsidR="0073689C" w:rsidRPr="0073689C" w:rsidTr="00395868">
              <w:trPr>
                <w:trHeight w:val="277"/>
              </w:trPr>
              <w:tc>
                <w:tcPr>
                  <w:tcW w:w="698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73689C" w:rsidRPr="0073689C" w:rsidRDefault="0073689C" w:rsidP="0073689C">
                  <w:pPr>
                    <w:numPr>
                      <w:ilvl w:val="0"/>
                      <w:numId w:val="39"/>
                    </w:numPr>
                    <w:spacing w:line="240" w:lineRule="auto"/>
                    <w:jc w:val="left"/>
                    <w:rPr>
                      <w:bCs/>
                      <w:i/>
                      <w:snapToGrid/>
                      <w:sz w:val="23"/>
                      <w:szCs w:val="23"/>
                      <w:lang w:eastAsia="en-US"/>
                    </w:rPr>
                  </w:pPr>
                  <w:r w:rsidRPr="0073689C">
                    <w:rPr>
                      <w:bCs/>
                      <w:i/>
                      <w:snapToGrid/>
                      <w:color w:val="000000"/>
                      <w:sz w:val="23"/>
                      <w:szCs w:val="23"/>
                    </w:rPr>
                    <w:t>Дополнительные требования:</w:t>
                  </w:r>
                </w:p>
              </w:tc>
            </w:tr>
          </w:tbl>
          <w:p w:rsidR="0073689C" w:rsidRPr="0073689C" w:rsidRDefault="0073689C" w:rsidP="0073689C">
            <w:pPr>
              <w:numPr>
                <w:ilvl w:val="0"/>
                <w:numId w:val="38"/>
              </w:numPr>
              <w:tabs>
                <w:tab w:val="center" w:pos="0"/>
                <w:tab w:val="left" w:pos="708"/>
                <w:tab w:val="right" w:pos="8306"/>
              </w:tabs>
              <w:spacing w:line="240" w:lineRule="auto"/>
              <w:ind w:left="0" w:firstLine="426"/>
              <w:jc w:val="left"/>
              <w:rPr>
                <w:bCs/>
                <w:snapToGrid/>
                <w:sz w:val="23"/>
                <w:szCs w:val="23"/>
              </w:rPr>
            </w:pPr>
            <w:r w:rsidRPr="0073689C">
              <w:rPr>
                <w:bCs/>
                <w:snapToGrid/>
                <w:sz w:val="23"/>
                <w:szCs w:val="23"/>
              </w:rPr>
              <w:t>Не указан точный срок поставки,</w:t>
            </w:r>
            <w:r w:rsidRPr="0073689C">
              <w:rPr>
                <w:sz w:val="23"/>
                <w:szCs w:val="23"/>
              </w:rPr>
              <w:t xml:space="preserve"> что не соответствует п. 7</w:t>
            </w:r>
            <w:r w:rsidRPr="0073689C">
              <w:rPr>
                <w:bCs/>
                <w:snapToGrid/>
                <w:sz w:val="23"/>
                <w:szCs w:val="23"/>
              </w:rPr>
              <w:t xml:space="preserve"> раздела </w:t>
            </w:r>
            <w:r w:rsidRPr="0073689C">
              <w:rPr>
                <w:bCs/>
                <w:snapToGrid/>
                <w:sz w:val="23"/>
                <w:szCs w:val="23"/>
                <w:lang w:val="en-US"/>
              </w:rPr>
              <w:t>II</w:t>
            </w:r>
            <w:r w:rsidRPr="0073689C">
              <w:rPr>
                <w:bCs/>
                <w:snapToGrid/>
                <w:sz w:val="23"/>
                <w:szCs w:val="23"/>
              </w:rPr>
              <w:t xml:space="preserve"> ТЗ</w:t>
            </w:r>
          </w:p>
          <w:p w:rsidR="0073689C" w:rsidRDefault="0073689C" w:rsidP="0073689C">
            <w:pPr>
              <w:numPr>
                <w:ilvl w:val="0"/>
                <w:numId w:val="38"/>
              </w:numPr>
              <w:spacing w:line="240" w:lineRule="auto"/>
              <w:ind w:left="0" w:firstLine="426"/>
              <w:jc w:val="left"/>
              <w:rPr>
                <w:rFonts w:eastAsia="Calibri"/>
                <w:snapToGrid/>
                <w:sz w:val="23"/>
                <w:szCs w:val="23"/>
                <w:lang w:eastAsia="en-US"/>
              </w:rPr>
            </w:pPr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в Коммерческом предложении в таблице 3 п. 5 предлагается  </w:t>
            </w:r>
            <w:r w:rsidRPr="0073689C">
              <w:rPr>
                <w:rFonts w:eastAsia="Calibri"/>
                <w:i/>
                <w:snapToGrid/>
                <w:sz w:val="23"/>
                <w:szCs w:val="23"/>
                <w:lang w:eastAsia="en-US"/>
              </w:rPr>
              <w:t>Предоплата 100% с момента подписания ТОРГ-12</w:t>
            </w:r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, что не соответствует п.6 раздела </w:t>
            </w:r>
            <w:r w:rsidRPr="0073689C">
              <w:rPr>
                <w:rFonts w:eastAsia="Calibri"/>
                <w:snapToGrid/>
                <w:sz w:val="23"/>
                <w:szCs w:val="23"/>
                <w:lang w:val="en-US" w:eastAsia="en-US"/>
              </w:rPr>
              <w:t>II</w:t>
            </w:r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 ТЗ  и п. 4 </w:t>
            </w:r>
            <w:proofErr w:type="spellStart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пп</w:t>
            </w:r>
            <w:proofErr w:type="spellEnd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 4.3.  Проекта договора.  </w:t>
            </w:r>
          </w:p>
          <w:p w:rsidR="0073689C" w:rsidRPr="0073689C" w:rsidRDefault="00ED1510" w:rsidP="00ED1510">
            <w:pPr>
              <w:spacing w:line="240" w:lineRule="auto"/>
              <w:ind w:left="426" w:firstLine="0"/>
              <w:jc w:val="left"/>
              <w:rPr>
                <w:rFonts w:eastAsia="Calibri"/>
                <w:snapToGrid/>
                <w:sz w:val="23"/>
                <w:szCs w:val="23"/>
                <w:lang w:eastAsia="en-US"/>
              </w:rPr>
            </w:pPr>
            <w:r w:rsidRPr="00ED1510">
              <w:rPr>
                <w:b/>
                <w:i/>
                <w:snapToGrid/>
                <w:sz w:val="22"/>
                <w:szCs w:val="22"/>
              </w:rPr>
              <w:t xml:space="preserve">По результатам </w:t>
            </w:r>
            <w:proofErr w:type="spellStart"/>
            <w:r w:rsidRPr="00ED1510">
              <w:rPr>
                <w:b/>
                <w:i/>
                <w:snapToGrid/>
                <w:sz w:val="22"/>
                <w:szCs w:val="22"/>
              </w:rPr>
              <w:t>допзапроса</w:t>
            </w:r>
            <w:proofErr w:type="spellEnd"/>
            <w:r w:rsidRPr="00ED1510">
              <w:rPr>
                <w:b/>
                <w:i/>
                <w:snapToGrid/>
                <w:sz w:val="22"/>
                <w:szCs w:val="22"/>
              </w:rPr>
              <w:t xml:space="preserve"> замечания </w:t>
            </w:r>
            <w:r w:rsidRPr="00ED1510">
              <w:rPr>
                <w:b/>
                <w:i/>
                <w:snapToGrid/>
                <w:sz w:val="22"/>
                <w:szCs w:val="22"/>
                <w:u w:val="single"/>
              </w:rPr>
              <w:t>не сняты.</w:t>
            </w:r>
            <w:r w:rsidRPr="00ED1510">
              <w:rPr>
                <w:b/>
                <w:i/>
                <w:snapToGrid/>
                <w:sz w:val="22"/>
                <w:szCs w:val="22"/>
              </w:rPr>
              <w:t xml:space="preserve"> Участник не ответил на запрос.</w:t>
            </w:r>
          </w:p>
        </w:tc>
      </w:tr>
    </w:tbl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689C">
        <w:rPr>
          <w:b/>
          <w:bCs/>
          <w:i/>
          <w:iCs/>
          <w:snapToGrid/>
          <w:sz w:val="24"/>
          <w:szCs w:val="24"/>
        </w:rPr>
        <w:t xml:space="preserve">ВОПРОС № 3. О признании заявок </w:t>
      </w:r>
      <w:proofErr w:type="gramStart"/>
      <w:r w:rsidRPr="0073689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3689C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3689C" w:rsidRPr="0073689C" w:rsidRDefault="0073689C" w:rsidP="0073689C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73689C">
        <w:rPr>
          <w:snapToGrid/>
          <w:sz w:val="24"/>
          <w:szCs w:val="24"/>
        </w:rPr>
        <w:t xml:space="preserve">Признать заявки </w:t>
      </w:r>
      <w:r w:rsidRPr="0073689C">
        <w:rPr>
          <w:b/>
          <w:i/>
          <w:snapToGrid/>
          <w:sz w:val="24"/>
          <w:szCs w:val="24"/>
        </w:rPr>
        <w:t xml:space="preserve">Общество с ограниченной ответственностью ПКП 'РИТМ' </w:t>
      </w:r>
      <w:r w:rsidRPr="0073689C">
        <w:rPr>
          <w:snapToGrid/>
          <w:sz w:val="24"/>
          <w:szCs w:val="24"/>
        </w:rPr>
        <w:t xml:space="preserve">(675029, Российская Федерация, Амурская область, Благовещенск, Заводская </w:t>
      </w:r>
      <w:proofErr w:type="spellStart"/>
      <w:proofErr w:type="gramStart"/>
      <w:r w:rsidRPr="0073689C">
        <w:rPr>
          <w:snapToGrid/>
          <w:sz w:val="24"/>
          <w:szCs w:val="24"/>
        </w:rPr>
        <w:t>ул</w:t>
      </w:r>
      <w:proofErr w:type="spellEnd"/>
      <w:proofErr w:type="gramEnd"/>
      <w:r w:rsidRPr="0073689C">
        <w:rPr>
          <w:snapToGrid/>
          <w:sz w:val="24"/>
          <w:szCs w:val="24"/>
        </w:rPr>
        <w:t xml:space="preserve">, 154 офис (квартира) 32), </w:t>
      </w:r>
      <w:r w:rsidRPr="0073689C">
        <w:rPr>
          <w:b/>
          <w:i/>
          <w:snapToGrid/>
          <w:sz w:val="24"/>
          <w:szCs w:val="24"/>
        </w:rPr>
        <w:t>ИП Мельников Николай Николаевич</w:t>
      </w:r>
      <w:r w:rsidRPr="0073689C">
        <w:rPr>
          <w:snapToGrid/>
          <w:sz w:val="24"/>
          <w:szCs w:val="24"/>
        </w:rPr>
        <w:t xml:space="preserve">  (675016, Российская Федерация, </w:t>
      </w:r>
      <w:r w:rsidRPr="0073689C">
        <w:rPr>
          <w:snapToGrid/>
          <w:sz w:val="24"/>
          <w:szCs w:val="24"/>
        </w:rPr>
        <w:lastRenderedPageBreak/>
        <w:t xml:space="preserve">Амурская область, Благовещенск, Богдана Хмельницкого,  </w:t>
      </w:r>
      <w:proofErr w:type="spellStart"/>
      <w:r w:rsidRPr="0073689C">
        <w:rPr>
          <w:snapToGrid/>
          <w:sz w:val="24"/>
          <w:szCs w:val="24"/>
        </w:rPr>
        <w:t>ул</w:t>
      </w:r>
      <w:proofErr w:type="spellEnd"/>
      <w:r w:rsidRPr="0073689C">
        <w:rPr>
          <w:snapToGrid/>
          <w:sz w:val="24"/>
          <w:szCs w:val="24"/>
        </w:rPr>
        <w:t>/</w:t>
      </w:r>
      <w:proofErr w:type="spellStart"/>
      <w:r w:rsidRPr="0073689C">
        <w:rPr>
          <w:snapToGrid/>
          <w:sz w:val="24"/>
          <w:szCs w:val="24"/>
        </w:rPr>
        <w:t>Забурхановская</w:t>
      </w:r>
      <w:proofErr w:type="spellEnd"/>
      <w:r w:rsidRPr="0073689C">
        <w:rPr>
          <w:snapToGrid/>
          <w:sz w:val="24"/>
          <w:szCs w:val="24"/>
        </w:rPr>
        <w:t>, 77/58) соответствующими условиям Документации о закупке и принять их к дальнейшему рассмотрению.</w:t>
      </w:r>
    </w:p>
    <w:p w:rsidR="0073689C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73689C" w:rsidRPr="007F06EB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7F06EB">
        <w:rPr>
          <w:b/>
          <w:bCs/>
          <w:i/>
          <w:iCs/>
          <w:sz w:val="24"/>
        </w:rPr>
        <w:t xml:space="preserve">ВОПРОС № 4 .  О </w:t>
      </w:r>
      <w:proofErr w:type="gramStart"/>
      <w:r w:rsidRPr="007F06EB">
        <w:rPr>
          <w:b/>
          <w:bCs/>
          <w:i/>
          <w:iCs/>
          <w:sz w:val="24"/>
        </w:rPr>
        <w:t>предварительной</w:t>
      </w:r>
      <w:proofErr w:type="gramEnd"/>
      <w:r w:rsidRPr="007F06EB">
        <w:rPr>
          <w:b/>
          <w:bCs/>
          <w:i/>
          <w:iCs/>
          <w:sz w:val="24"/>
        </w:rPr>
        <w:t xml:space="preserve"> </w:t>
      </w:r>
      <w:proofErr w:type="spellStart"/>
      <w:r w:rsidRPr="007F06EB">
        <w:rPr>
          <w:b/>
          <w:bCs/>
          <w:i/>
          <w:iCs/>
          <w:sz w:val="24"/>
        </w:rPr>
        <w:t>ранжировке</w:t>
      </w:r>
      <w:proofErr w:type="spellEnd"/>
      <w:r w:rsidRPr="007F06EB">
        <w:rPr>
          <w:b/>
          <w:bCs/>
          <w:i/>
          <w:iCs/>
          <w:sz w:val="24"/>
        </w:rPr>
        <w:t xml:space="preserve"> заявок</w:t>
      </w:r>
    </w:p>
    <w:p w:rsidR="0073689C" w:rsidRPr="0073689C" w:rsidRDefault="0073689C" w:rsidP="0073689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3689C">
        <w:rPr>
          <w:snapToGrid/>
          <w:sz w:val="24"/>
          <w:szCs w:val="24"/>
        </w:rPr>
        <w:t xml:space="preserve">Утвердить </w:t>
      </w:r>
      <w:proofErr w:type="gramStart"/>
      <w:r w:rsidRPr="0073689C">
        <w:rPr>
          <w:snapToGrid/>
          <w:sz w:val="24"/>
          <w:szCs w:val="24"/>
        </w:rPr>
        <w:t>предварительную</w:t>
      </w:r>
      <w:proofErr w:type="gramEnd"/>
      <w:r w:rsidRPr="0073689C">
        <w:rPr>
          <w:snapToGrid/>
          <w:sz w:val="24"/>
          <w:szCs w:val="24"/>
        </w:rPr>
        <w:t xml:space="preserve"> </w:t>
      </w:r>
      <w:proofErr w:type="spellStart"/>
      <w:r w:rsidRPr="0073689C">
        <w:rPr>
          <w:snapToGrid/>
          <w:sz w:val="24"/>
          <w:szCs w:val="24"/>
        </w:rPr>
        <w:t>ранжировку</w:t>
      </w:r>
      <w:proofErr w:type="spellEnd"/>
      <w:r w:rsidRPr="0073689C">
        <w:rPr>
          <w:snapToGrid/>
          <w:sz w:val="24"/>
          <w:szCs w:val="24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73689C" w:rsidRPr="0073689C" w:rsidTr="00395868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689C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9C" w:rsidRPr="0073689C" w:rsidRDefault="0073689C" w:rsidP="0073689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9C" w:rsidRPr="0073689C" w:rsidRDefault="0073689C" w:rsidP="0073689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3689C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73689C" w:rsidRPr="0073689C" w:rsidTr="00395868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3689C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73689C">
              <w:rPr>
                <w:rFonts w:eastAsia="Calibri"/>
                <w:b/>
                <w:i/>
                <w:snapToGrid/>
                <w:sz w:val="23"/>
                <w:szCs w:val="23"/>
                <w:lang w:eastAsia="en-US"/>
              </w:rPr>
              <w:t>ИП Мельников Николай Николаевич</w:t>
            </w:r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  (675016, Российская Федерация, Амурская область, Благовещенск, Богдана Хмельницкого </w:t>
            </w:r>
            <w:proofErr w:type="spellStart"/>
            <w:proofErr w:type="gramStart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ул</w:t>
            </w:r>
            <w:proofErr w:type="spellEnd"/>
            <w:proofErr w:type="gramEnd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/</w:t>
            </w:r>
            <w:proofErr w:type="spellStart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Забурхановская</w:t>
            </w:r>
            <w:proofErr w:type="spellEnd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, 77/58)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73689C">
              <w:rPr>
                <w:b/>
                <w:i/>
                <w:sz w:val="24"/>
                <w:szCs w:val="24"/>
              </w:rPr>
              <w:t>615 338,98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3689C">
              <w:rPr>
                <w:b/>
                <w:i/>
                <w:snapToGrid/>
                <w:sz w:val="22"/>
                <w:szCs w:val="22"/>
              </w:rPr>
              <w:t>0,98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3689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73689C" w:rsidRPr="0073689C" w:rsidTr="00395868">
        <w:trPr>
          <w:trHeight w:val="1878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3689C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73689C">
              <w:rPr>
                <w:rFonts w:eastAsia="Calibri"/>
                <w:b/>
                <w:i/>
                <w:snapToGrid/>
                <w:sz w:val="23"/>
                <w:szCs w:val="23"/>
                <w:lang w:eastAsia="en-US"/>
              </w:rPr>
              <w:t xml:space="preserve">Общество с ограниченной ответственностью ПКП 'РИТМ' </w:t>
            </w:r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(675029, Российская Федерация, Амурская область, Благовещенск, Заводская </w:t>
            </w:r>
            <w:proofErr w:type="spellStart"/>
            <w:proofErr w:type="gramStart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>ул</w:t>
            </w:r>
            <w:proofErr w:type="spellEnd"/>
            <w:proofErr w:type="gramEnd"/>
            <w:r w:rsidRPr="0073689C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, 154 офис (квартира) 32 )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73689C">
              <w:rPr>
                <w:b/>
                <w:i/>
                <w:sz w:val="24"/>
                <w:szCs w:val="24"/>
              </w:rPr>
              <w:t>700 000,0</w:t>
            </w:r>
            <w:r w:rsidR="00FA2266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3689C">
              <w:rPr>
                <w:b/>
                <w:i/>
                <w:snapToGrid/>
                <w:sz w:val="22"/>
                <w:szCs w:val="22"/>
              </w:rPr>
              <w:t>0,65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89C" w:rsidRPr="0073689C" w:rsidRDefault="0073689C" w:rsidP="0073689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3689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689C">
        <w:rPr>
          <w:b/>
          <w:bCs/>
          <w:i/>
          <w:iCs/>
          <w:snapToGrid/>
          <w:sz w:val="24"/>
          <w:szCs w:val="24"/>
        </w:rPr>
        <w:t>ВОПРОС № 5.  О проведении переторжки</w:t>
      </w: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689C">
        <w:rPr>
          <w:snapToGrid/>
          <w:sz w:val="24"/>
          <w:szCs w:val="24"/>
        </w:rPr>
        <w:t>Провести переторжку;</w:t>
      </w: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73689C">
        <w:rPr>
          <w:sz w:val="24"/>
          <w:szCs w:val="24"/>
        </w:rPr>
        <w:t xml:space="preserve">Допустить к </w:t>
      </w:r>
      <w:r w:rsidRPr="0073689C">
        <w:rPr>
          <w:snapToGrid/>
          <w:sz w:val="24"/>
          <w:szCs w:val="24"/>
        </w:rPr>
        <w:t>участию</w:t>
      </w:r>
      <w:r w:rsidRPr="0073689C">
        <w:rPr>
          <w:sz w:val="24"/>
          <w:szCs w:val="24"/>
        </w:rPr>
        <w:t xml:space="preserve"> в переторжке предложения следующих участников: </w:t>
      </w:r>
      <w:r w:rsidRPr="0073689C">
        <w:rPr>
          <w:b/>
          <w:i/>
          <w:snapToGrid/>
          <w:sz w:val="24"/>
          <w:szCs w:val="24"/>
        </w:rPr>
        <w:t xml:space="preserve">Общество с ограниченной ответственностью ПКП 'РИТМ' </w:t>
      </w:r>
      <w:r w:rsidRPr="0073689C">
        <w:rPr>
          <w:snapToGrid/>
          <w:sz w:val="24"/>
          <w:szCs w:val="24"/>
        </w:rPr>
        <w:t xml:space="preserve">(675029, Российская Федерация, Амурская область, Благовещенск, Заводская </w:t>
      </w:r>
      <w:proofErr w:type="spellStart"/>
      <w:proofErr w:type="gramStart"/>
      <w:r w:rsidRPr="0073689C">
        <w:rPr>
          <w:snapToGrid/>
          <w:sz w:val="24"/>
          <w:szCs w:val="24"/>
        </w:rPr>
        <w:t>ул</w:t>
      </w:r>
      <w:proofErr w:type="spellEnd"/>
      <w:proofErr w:type="gramEnd"/>
      <w:r w:rsidRPr="0073689C">
        <w:rPr>
          <w:snapToGrid/>
          <w:sz w:val="24"/>
          <w:szCs w:val="24"/>
        </w:rPr>
        <w:t xml:space="preserve">, 154 офис (квартира) 32), </w:t>
      </w:r>
      <w:r w:rsidRPr="0073689C">
        <w:rPr>
          <w:b/>
          <w:i/>
          <w:snapToGrid/>
          <w:sz w:val="24"/>
          <w:szCs w:val="24"/>
        </w:rPr>
        <w:t>ИП Мельников Николай Николаевич</w:t>
      </w:r>
      <w:r w:rsidRPr="0073689C">
        <w:rPr>
          <w:snapToGrid/>
          <w:sz w:val="24"/>
          <w:szCs w:val="24"/>
        </w:rPr>
        <w:t xml:space="preserve">  (675016, Российская Федерация, Амурская область, Благовещенск, Богдана Хмельницкого,  </w:t>
      </w:r>
      <w:proofErr w:type="spellStart"/>
      <w:r w:rsidRPr="0073689C">
        <w:rPr>
          <w:snapToGrid/>
          <w:sz w:val="24"/>
          <w:szCs w:val="24"/>
        </w:rPr>
        <w:t>ул</w:t>
      </w:r>
      <w:proofErr w:type="spellEnd"/>
      <w:r w:rsidRPr="0073689C">
        <w:rPr>
          <w:snapToGrid/>
          <w:sz w:val="24"/>
          <w:szCs w:val="24"/>
        </w:rPr>
        <w:t>/</w:t>
      </w:r>
      <w:proofErr w:type="spellStart"/>
      <w:r w:rsidRPr="0073689C">
        <w:rPr>
          <w:snapToGrid/>
          <w:sz w:val="24"/>
          <w:szCs w:val="24"/>
        </w:rPr>
        <w:t>Забурхановская</w:t>
      </w:r>
      <w:proofErr w:type="spellEnd"/>
      <w:r w:rsidRPr="0073689C">
        <w:rPr>
          <w:snapToGrid/>
          <w:sz w:val="24"/>
          <w:szCs w:val="24"/>
        </w:rPr>
        <w:t>, 77/58);</w:t>
      </w:r>
      <w:r w:rsidRPr="0073689C">
        <w:rPr>
          <w:snapToGrid/>
          <w:sz w:val="24"/>
          <w:szCs w:val="24"/>
          <w:lang w:eastAsia="en-US"/>
        </w:rPr>
        <w:t xml:space="preserve">  </w:t>
      </w: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689C">
        <w:rPr>
          <w:sz w:val="24"/>
          <w:szCs w:val="24"/>
        </w:rPr>
        <w:t>Определить</w:t>
      </w:r>
      <w:r w:rsidRPr="0073689C">
        <w:rPr>
          <w:snapToGrid/>
          <w:sz w:val="24"/>
          <w:szCs w:val="24"/>
        </w:rPr>
        <w:t xml:space="preserve"> форму переторжки: </w:t>
      </w:r>
      <w:proofErr w:type="gramStart"/>
      <w:r w:rsidRPr="0073689C">
        <w:rPr>
          <w:snapToGrid/>
          <w:sz w:val="24"/>
          <w:szCs w:val="24"/>
        </w:rPr>
        <w:t>заочная</w:t>
      </w:r>
      <w:proofErr w:type="gramEnd"/>
      <w:r w:rsidRPr="0073689C">
        <w:rPr>
          <w:snapToGrid/>
          <w:sz w:val="24"/>
          <w:szCs w:val="24"/>
        </w:rPr>
        <w:t>;</w:t>
      </w: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689C">
        <w:rPr>
          <w:sz w:val="24"/>
          <w:szCs w:val="24"/>
        </w:rPr>
        <w:t>Назначить</w:t>
      </w:r>
      <w:r w:rsidRPr="0073689C">
        <w:rPr>
          <w:snapToGrid/>
          <w:sz w:val="24"/>
          <w:szCs w:val="24"/>
        </w:rPr>
        <w:t xml:space="preserve"> переторжку на 18.09.2017 в 10:00 час</w:t>
      </w:r>
      <w:proofErr w:type="gramStart"/>
      <w:r w:rsidRPr="0073689C">
        <w:rPr>
          <w:snapToGrid/>
          <w:sz w:val="24"/>
          <w:szCs w:val="24"/>
        </w:rPr>
        <w:t>.</w:t>
      </w:r>
      <w:proofErr w:type="gramEnd"/>
      <w:r w:rsidRPr="0073689C">
        <w:rPr>
          <w:snapToGrid/>
          <w:sz w:val="24"/>
          <w:szCs w:val="24"/>
        </w:rPr>
        <w:t xml:space="preserve"> (</w:t>
      </w:r>
      <w:proofErr w:type="gramStart"/>
      <w:r w:rsidRPr="0073689C">
        <w:rPr>
          <w:snapToGrid/>
          <w:sz w:val="24"/>
          <w:szCs w:val="24"/>
        </w:rPr>
        <w:t>б</w:t>
      </w:r>
      <w:proofErr w:type="gramEnd"/>
      <w:r w:rsidRPr="0073689C">
        <w:rPr>
          <w:snapToGrid/>
          <w:sz w:val="24"/>
          <w:szCs w:val="24"/>
        </w:rPr>
        <w:t>лаговещенского времени);</w:t>
      </w: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689C">
        <w:rPr>
          <w:sz w:val="24"/>
          <w:szCs w:val="24"/>
        </w:rPr>
        <w:t>Место</w:t>
      </w:r>
      <w:r w:rsidRPr="0073689C">
        <w:rPr>
          <w:snapToGrid/>
          <w:sz w:val="24"/>
          <w:szCs w:val="24"/>
        </w:rPr>
        <w:t xml:space="preserve"> проведения переторжки: </w:t>
      </w:r>
      <w:r w:rsidRPr="0073689C">
        <w:rPr>
          <w:snapToGrid/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73689C">
        <w:rPr>
          <w:snapToGrid/>
          <w:sz w:val="24"/>
          <w:szCs w:val="24"/>
        </w:rPr>
        <w:t>;</w:t>
      </w:r>
    </w:p>
    <w:p w:rsidR="0073689C" w:rsidRPr="0073689C" w:rsidRDefault="0073689C" w:rsidP="0073689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689C">
        <w:rPr>
          <w:sz w:val="24"/>
          <w:szCs w:val="24"/>
        </w:rPr>
        <w:t xml:space="preserve">Секретарю Закупочной комиссии уведомить участников, </w:t>
      </w:r>
      <w:proofErr w:type="spellStart"/>
      <w:r w:rsidRPr="0073689C">
        <w:rPr>
          <w:sz w:val="24"/>
          <w:szCs w:val="24"/>
        </w:rPr>
        <w:t>приглашенных</w:t>
      </w:r>
      <w:proofErr w:type="spellEnd"/>
      <w:r w:rsidRPr="0073689C">
        <w:rPr>
          <w:sz w:val="24"/>
          <w:szCs w:val="24"/>
        </w:rPr>
        <w:t xml:space="preserve"> к участию в переторжке, о принятом комиссией решении.</w:t>
      </w: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4F" w:rsidRDefault="00CE484F" w:rsidP="00355095">
      <w:pPr>
        <w:spacing w:line="240" w:lineRule="auto"/>
      </w:pPr>
      <w:r>
        <w:separator/>
      </w:r>
    </w:p>
  </w:endnote>
  <w:endnote w:type="continuationSeparator" w:id="0">
    <w:p w:rsidR="00CE484F" w:rsidRDefault="00CE48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8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8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4F" w:rsidRDefault="00CE484F" w:rsidP="00355095">
      <w:pPr>
        <w:spacing w:line="240" w:lineRule="auto"/>
      </w:pPr>
      <w:r>
        <w:separator/>
      </w:r>
    </w:p>
  </w:footnote>
  <w:footnote w:type="continuationSeparator" w:id="0">
    <w:p w:rsidR="00CE484F" w:rsidRDefault="00CE48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165E61"/>
    <w:multiLevelType w:val="hybridMultilevel"/>
    <w:tmpl w:val="F518437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434A0"/>
    <w:multiLevelType w:val="hybridMultilevel"/>
    <w:tmpl w:val="4420DE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75A9B"/>
    <w:multiLevelType w:val="hybridMultilevel"/>
    <w:tmpl w:val="7AF0A538"/>
    <w:lvl w:ilvl="0" w:tplc="091CD9A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5EB3592"/>
    <w:multiLevelType w:val="hybridMultilevel"/>
    <w:tmpl w:val="C34CDDF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04659C"/>
    <w:multiLevelType w:val="hybridMultilevel"/>
    <w:tmpl w:val="9C04A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636D95"/>
    <w:multiLevelType w:val="hybridMultilevel"/>
    <w:tmpl w:val="437083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CDD2F6E"/>
    <w:multiLevelType w:val="hybridMultilevel"/>
    <w:tmpl w:val="3BDCF984"/>
    <w:lvl w:ilvl="0" w:tplc="BCF6BF74">
      <w:start w:val="1"/>
      <w:numFmt w:val="decimal"/>
      <w:lvlText w:val="%1."/>
      <w:lvlJc w:val="left"/>
      <w:pPr>
        <w:ind w:left="372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8"/>
  </w:num>
  <w:num w:numId="5">
    <w:abstractNumId w:val="27"/>
  </w:num>
  <w:num w:numId="6">
    <w:abstractNumId w:val="5"/>
  </w:num>
  <w:num w:numId="7">
    <w:abstractNumId w:val="30"/>
  </w:num>
  <w:num w:numId="8">
    <w:abstractNumId w:val="25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18"/>
  </w:num>
  <w:num w:numId="34">
    <w:abstractNumId w:val="13"/>
  </w:num>
  <w:num w:numId="35">
    <w:abstractNumId w:val="7"/>
  </w:num>
  <w:num w:numId="36">
    <w:abstractNumId w:val="15"/>
  </w:num>
  <w:num w:numId="37">
    <w:abstractNumId w:val="19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31B3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3689C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4E68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692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6D41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484F"/>
    <w:rsid w:val="00CE5760"/>
    <w:rsid w:val="00D021FB"/>
    <w:rsid w:val="00D03829"/>
    <w:rsid w:val="00D0598C"/>
    <w:rsid w:val="00D05F7D"/>
    <w:rsid w:val="00D1232E"/>
    <w:rsid w:val="00D26329"/>
    <w:rsid w:val="00D43162"/>
    <w:rsid w:val="00D62D28"/>
    <w:rsid w:val="00D675E5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818"/>
    <w:rsid w:val="00E77556"/>
    <w:rsid w:val="00E80EDC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151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2266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A79E-541C-4381-9B37-342BADC1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2017-09-12T04:29:00Z</cp:lastPrinted>
  <dcterms:created xsi:type="dcterms:W3CDTF">2015-01-16T07:03:00Z</dcterms:created>
  <dcterms:modified xsi:type="dcterms:W3CDTF">2017-09-14T23:18:00Z</dcterms:modified>
</cp:coreProperties>
</file>