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91280B">
        <w:rPr>
          <w:rFonts w:ascii="Times New Roman" w:hAnsi="Times New Roman"/>
          <w:sz w:val="28"/>
          <w:szCs w:val="28"/>
        </w:rPr>
        <w:t>5</w:t>
      </w:r>
      <w:r w:rsidR="0035443D">
        <w:rPr>
          <w:rFonts w:ascii="Times New Roman" w:hAnsi="Times New Roman"/>
          <w:sz w:val="28"/>
          <w:szCs w:val="28"/>
        </w:rPr>
        <w:t>32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proofErr w:type="gramStart"/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</w:t>
      </w:r>
      <w:r w:rsidR="0035443D" w:rsidRPr="00EC5744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(с. Ровное, с. Мичуринское, с. Ильинка, с. </w:t>
      </w:r>
      <w:proofErr w:type="spellStart"/>
      <w:r w:rsidR="0035443D" w:rsidRPr="00EC5744">
        <w:rPr>
          <w:b/>
          <w:bCs/>
          <w:i/>
          <w:iCs/>
          <w:snapToGrid w:val="0"/>
          <w:szCs w:val="28"/>
        </w:rPr>
        <w:t>Бычиха</w:t>
      </w:r>
      <w:proofErr w:type="spellEnd"/>
      <w:r w:rsidR="0035443D" w:rsidRPr="00EC5744">
        <w:rPr>
          <w:b/>
          <w:bCs/>
          <w:i/>
          <w:iCs/>
          <w:snapToGrid w:val="0"/>
          <w:szCs w:val="28"/>
        </w:rPr>
        <w:t xml:space="preserve">, с. </w:t>
      </w:r>
      <w:proofErr w:type="spellStart"/>
      <w:r w:rsidR="0035443D" w:rsidRPr="00EC5744">
        <w:rPr>
          <w:b/>
          <w:bCs/>
          <w:i/>
          <w:iCs/>
          <w:snapToGrid w:val="0"/>
          <w:szCs w:val="28"/>
        </w:rPr>
        <w:t>Краснореченское</w:t>
      </w:r>
      <w:proofErr w:type="spellEnd"/>
      <w:r w:rsidR="0035443D" w:rsidRPr="00EC5744">
        <w:rPr>
          <w:b/>
          <w:bCs/>
          <w:i/>
          <w:iCs/>
          <w:snapToGrid w:val="0"/>
          <w:szCs w:val="28"/>
        </w:rPr>
        <w:t xml:space="preserve">, с. Восточное, с. </w:t>
      </w:r>
      <w:proofErr w:type="spellStart"/>
      <w:r w:rsidR="0035443D" w:rsidRPr="00EC5744">
        <w:rPr>
          <w:b/>
          <w:bCs/>
          <w:i/>
          <w:iCs/>
          <w:snapToGrid w:val="0"/>
          <w:szCs w:val="28"/>
        </w:rPr>
        <w:t>Некрасовка</w:t>
      </w:r>
      <w:proofErr w:type="spellEnd"/>
      <w:r w:rsidR="0035443D" w:rsidRPr="00EC5744">
        <w:rPr>
          <w:b/>
          <w:bCs/>
          <w:i/>
          <w:iCs/>
          <w:snapToGrid w:val="0"/>
          <w:szCs w:val="28"/>
        </w:rPr>
        <w:t>, с. Осиновая Речка, с. Новотроицкое, 21 км Сарапульского шоссе, в р-не Малого аэропорта, Хабаровск</w:t>
      </w:r>
      <w:proofErr w:type="gramEnd"/>
      <w:r w:rsidR="0035443D" w:rsidRPr="00EC5744">
        <w:rPr>
          <w:b/>
          <w:bCs/>
          <w:i/>
          <w:iCs/>
          <w:snapToGrid w:val="0"/>
          <w:szCs w:val="28"/>
        </w:rPr>
        <w:t xml:space="preserve"> г, в </w:t>
      </w:r>
      <w:proofErr w:type="gramStart"/>
      <w:r w:rsidR="0035443D" w:rsidRPr="00EC5744">
        <w:rPr>
          <w:b/>
          <w:bCs/>
          <w:i/>
          <w:iCs/>
          <w:snapToGrid w:val="0"/>
          <w:szCs w:val="28"/>
        </w:rPr>
        <w:t>р-не</w:t>
      </w:r>
      <w:proofErr w:type="gramEnd"/>
      <w:r w:rsidR="0035443D" w:rsidRPr="00EC5744">
        <w:rPr>
          <w:b/>
          <w:bCs/>
          <w:i/>
          <w:iCs/>
          <w:snapToGrid w:val="0"/>
          <w:szCs w:val="28"/>
        </w:rPr>
        <w:t xml:space="preserve"> с. Гаровка-1</w:t>
      </w:r>
      <w:r w:rsidR="0035443D">
        <w:rPr>
          <w:b/>
          <w:bCs/>
          <w:i/>
          <w:iCs/>
          <w:snapToGrid w:val="0"/>
          <w:szCs w:val="28"/>
        </w:rPr>
        <w:t xml:space="preserve">) </w:t>
      </w:r>
      <w:r w:rsidR="0035443D" w:rsidRPr="00047F77">
        <w:rPr>
          <w:b/>
          <w:bCs/>
          <w:szCs w:val="28"/>
        </w:rPr>
        <w:t xml:space="preserve">закупка </w:t>
      </w:r>
      <w:r w:rsidR="0035443D">
        <w:rPr>
          <w:b/>
          <w:bCs/>
          <w:szCs w:val="28"/>
        </w:rPr>
        <w:t xml:space="preserve"> </w:t>
      </w:r>
      <w:r w:rsidR="0035443D" w:rsidRPr="00047F77">
        <w:rPr>
          <w:b/>
          <w:bCs/>
          <w:szCs w:val="28"/>
        </w:rPr>
        <w:t xml:space="preserve">№ </w:t>
      </w:r>
      <w:r w:rsidR="0035443D">
        <w:rPr>
          <w:b/>
          <w:bCs/>
          <w:szCs w:val="28"/>
        </w:rPr>
        <w:t>2098</w:t>
      </w:r>
      <w:r w:rsidR="0035443D" w:rsidRPr="00047F77">
        <w:rPr>
          <w:b/>
          <w:bCs/>
          <w:szCs w:val="28"/>
        </w:rPr>
        <w:t xml:space="preserve"> </w:t>
      </w:r>
      <w:r w:rsidR="004C6FF8">
        <w:rPr>
          <w:b/>
          <w:bCs/>
          <w:szCs w:val="28"/>
        </w:rPr>
        <w:t xml:space="preserve">раздел  2.1.1.  ГКПЗ 2017 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87387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873870">
              <w:rPr>
                <w:b/>
                <w:sz w:val="24"/>
                <w:szCs w:val="24"/>
              </w:rPr>
              <w:t>05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4C6FF8">
              <w:rPr>
                <w:b/>
                <w:sz w:val="24"/>
                <w:szCs w:val="24"/>
              </w:rPr>
              <w:t>ию</w:t>
            </w:r>
            <w:r w:rsidR="0035443D">
              <w:rPr>
                <w:b/>
                <w:sz w:val="24"/>
                <w:szCs w:val="24"/>
              </w:rPr>
              <w:t>л</w:t>
            </w:r>
            <w:r w:rsidR="004C6FF8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4C6FF8" w:rsidRDefault="0035443D" w:rsidP="00FB19F6">
      <w:pPr>
        <w:pStyle w:val="21"/>
        <w:ind w:firstLine="0"/>
        <w:rPr>
          <w:b/>
          <w:i/>
          <w:sz w:val="26"/>
          <w:szCs w:val="26"/>
        </w:rPr>
      </w:pPr>
      <w:r w:rsidRPr="00EC5744">
        <w:rPr>
          <w:b/>
          <w:i/>
          <w:sz w:val="26"/>
          <w:szCs w:val="26"/>
        </w:rPr>
        <w:t>31705223227</w:t>
      </w:r>
      <w:r w:rsidR="004C6FF8">
        <w:rPr>
          <w:b/>
          <w:i/>
          <w:sz w:val="26"/>
          <w:szCs w:val="26"/>
        </w:rPr>
        <w:t>– ЕИС</w:t>
      </w:r>
    </w:p>
    <w:p w:rsidR="004C6FF8" w:rsidRDefault="004C6FF8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C6FF8" w:rsidRPr="00961E5B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61E5B">
        <w:rPr>
          <w:bCs/>
          <w:i/>
          <w:iCs/>
          <w:sz w:val="26"/>
          <w:szCs w:val="26"/>
        </w:rPr>
        <w:t xml:space="preserve">О </w:t>
      </w:r>
      <w:r w:rsidRPr="00961E5B">
        <w:rPr>
          <w:b/>
          <w:bCs/>
          <w:i/>
          <w:iCs/>
          <w:sz w:val="26"/>
          <w:szCs w:val="26"/>
        </w:rPr>
        <w:t xml:space="preserve"> </w:t>
      </w:r>
      <w:r w:rsidRPr="00961E5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4C6FF8" w:rsidRPr="00FF3950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F3950">
        <w:rPr>
          <w:bCs/>
          <w:i/>
          <w:iCs/>
          <w:sz w:val="26"/>
          <w:szCs w:val="26"/>
        </w:rPr>
        <w:t>соответствующими</w:t>
      </w:r>
      <w:proofErr w:type="gramEnd"/>
      <w:r w:rsidRPr="00FF3950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4C6FF8" w:rsidRPr="00FF3950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 xml:space="preserve">Об </w:t>
      </w:r>
      <w:proofErr w:type="gramStart"/>
      <w:r w:rsidRPr="00FF3950">
        <w:rPr>
          <w:bCs/>
          <w:i/>
          <w:iCs/>
          <w:sz w:val="26"/>
          <w:szCs w:val="26"/>
        </w:rPr>
        <w:t>итоговой</w:t>
      </w:r>
      <w:proofErr w:type="gramEnd"/>
      <w:r w:rsidRPr="00FF3950">
        <w:rPr>
          <w:bCs/>
          <w:i/>
          <w:iCs/>
          <w:sz w:val="26"/>
          <w:szCs w:val="26"/>
        </w:rPr>
        <w:t xml:space="preserve"> </w:t>
      </w:r>
      <w:proofErr w:type="spellStart"/>
      <w:r w:rsidRPr="00FF3950">
        <w:rPr>
          <w:bCs/>
          <w:i/>
          <w:iCs/>
          <w:sz w:val="26"/>
          <w:szCs w:val="26"/>
        </w:rPr>
        <w:t>ранжировке</w:t>
      </w:r>
      <w:proofErr w:type="spellEnd"/>
      <w:r w:rsidRPr="00FF3950">
        <w:rPr>
          <w:bCs/>
          <w:i/>
          <w:iCs/>
          <w:sz w:val="26"/>
          <w:szCs w:val="26"/>
        </w:rPr>
        <w:t xml:space="preserve"> заявок.</w:t>
      </w:r>
    </w:p>
    <w:p w:rsidR="004C6FF8" w:rsidRPr="00FF3950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>О выборе победителя.</w:t>
      </w:r>
    </w:p>
    <w:p w:rsidR="00EF202A" w:rsidRPr="00123F9B" w:rsidRDefault="00EF202A" w:rsidP="00EF202A">
      <w:pPr>
        <w:spacing w:line="240" w:lineRule="auto"/>
        <w:rPr>
          <w:b/>
          <w:sz w:val="12"/>
          <w:szCs w:val="12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35443D" w:rsidRPr="00961E5B" w:rsidRDefault="0035443D" w:rsidP="0035443D">
      <w:pPr>
        <w:spacing w:line="240" w:lineRule="auto"/>
        <w:rPr>
          <w:b/>
          <w:sz w:val="26"/>
          <w:szCs w:val="26"/>
        </w:rPr>
      </w:pPr>
      <w:r w:rsidRPr="00961E5B">
        <w:rPr>
          <w:b/>
          <w:sz w:val="26"/>
          <w:szCs w:val="26"/>
        </w:rPr>
        <w:t>РЕШИЛИ:</w:t>
      </w:r>
    </w:p>
    <w:p w:rsidR="0035443D" w:rsidRPr="00961E5B" w:rsidRDefault="0035443D" w:rsidP="0035443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961E5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5443D" w:rsidRPr="00961E5B" w:rsidRDefault="0035443D" w:rsidP="0035443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961E5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35443D" w:rsidRPr="009B4F33" w:rsidTr="00314EA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D" w:rsidRPr="009B4F33" w:rsidRDefault="0035443D" w:rsidP="00314EA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35443D" w:rsidRPr="009B4F33" w:rsidRDefault="0035443D" w:rsidP="00314EA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9B4F33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9B4F33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D" w:rsidRPr="009B4F33" w:rsidRDefault="0035443D" w:rsidP="00314EA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D" w:rsidRPr="009B4F33" w:rsidRDefault="0035443D" w:rsidP="00314EA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18"/>
                <w:lang w:eastAsia="en-US"/>
              </w:rPr>
              <w:t>заявки</w:t>
            </w:r>
            <w:r w:rsidRPr="009B4F33">
              <w:rPr>
                <w:b/>
                <w:i/>
                <w:sz w:val="18"/>
                <w:szCs w:val="18"/>
                <w:lang w:eastAsia="en-US"/>
              </w:rPr>
              <w:t xml:space="preserve"> на участие в закупке без НДС, руб.</w:t>
            </w:r>
          </w:p>
        </w:tc>
      </w:tr>
      <w:tr w:rsidR="0035443D" w:rsidRPr="005417FD" w:rsidTr="00314EA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D" w:rsidRPr="005417FD" w:rsidRDefault="0035443D" w:rsidP="00314EA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417FD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3D" w:rsidRDefault="0035443D" w:rsidP="00314EA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«ВСЭСС»</w:t>
            </w:r>
          </w:p>
          <w:p w:rsidR="0035443D" w:rsidRDefault="0035443D" w:rsidP="00314EA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3D" w:rsidRDefault="0035443D" w:rsidP="00314EA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 xml:space="preserve">5 289 219,00 </w:t>
            </w:r>
            <w:r>
              <w:rPr>
                <w:sz w:val="24"/>
                <w:szCs w:val="24"/>
              </w:rPr>
              <w:t xml:space="preserve">рублей без учета НДС (6 241 278,42 руб. с учетом НДС). </w:t>
            </w:r>
          </w:p>
        </w:tc>
      </w:tr>
      <w:tr w:rsidR="0035443D" w:rsidRPr="005417FD" w:rsidTr="00314EA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3D" w:rsidRPr="005417FD" w:rsidRDefault="0035443D" w:rsidP="00314EA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3D" w:rsidRDefault="0035443D" w:rsidP="00314EA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«Амур-ЭП»</w:t>
            </w:r>
          </w:p>
          <w:p w:rsidR="0035443D" w:rsidRDefault="0035443D" w:rsidP="00314EA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Хабаровск, 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>- 60 лет Октября, 128а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3D" w:rsidRDefault="0035443D" w:rsidP="00314EA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 xml:space="preserve">5 296 538,00 </w:t>
            </w:r>
            <w:r>
              <w:rPr>
                <w:sz w:val="24"/>
                <w:szCs w:val="24"/>
              </w:rPr>
              <w:t xml:space="preserve">рублей без учета НДС (6 249 914,84 руб. с учетом НДС). </w:t>
            </w:r>
          </w:p>
        </w:tc>
      </w:tr>
    </w:tbl>
    <w:p w:rsidR="00863FCF" w:rsidRPr="00814A65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C6FF8" w:rsidRDefault="004C6FF8" w:rsidP="004C6FF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35443D" w:rsidRDefault="0035443D" w:rsidP="0035443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5443D" w:rsidRDefault="0035443D" w:rsidP="0035443D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АО «ВСЭСС» </w:t>
      </w:r>
      <w:r>
        <w:rPr>
          <w:sz w:val="26"/>
          <w:szCs w:val="26"/>
        </w:rPr>
        <w:t>г. Хабаровск, ул. Тихоокеанская, 165,</w:t>
      </w:r>
      <w:r w:rsidRPr="00744059"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«Амур-ЭП» </w:t>
      </w:r>
      <w:r>
        <w:rPr>
          <w:sz w:val="26"/>
          <w:szCs w:val="26"/>
        </w:rPr>
        <w:t xml:space="preserve">г. Хабаровск, </w:t>
      </w:r>
      <w:proofErr w:type="spellStart"/>
      <w:proofErr w:type="gramStart"/>
      <w:r>
        <w:rPr>
          <w:sz w:val="26"/>
          <w:szCs w:val="26"/>
        </w:rPr>
        <w:t>пр</w:t>
      </w:r>
      <w:proofErr w:type="spellEnd"/>
      <w:proofErr w:type="gramEnd"/>
      <w:r>
        <w:rPr>
          <w:sz w:val="26"/>
          <w:szCs w:val="26"/>
        </w:rPr>
        <w:t>- 60 лет Октября, 128а</w:t>
      </w:r>
      <w:r w:rsidRPr="0074405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5443D" w:rsidRDefault="0035443D" w:rsidP="0035443D">
      <w:pPr>
        <w:pStyle w:val="a4"/>
        <w:rPr>
          <w:b/>
          <w:bCs/>
          <w:i/>
          <w:iCs/>
          <w:sz w:val="26"/>
          <w:szCs w:val="26"/>
        </w:rPr>
      </w:pPr>
    </w:p>
    <w:p w:rsidR="004C6FF8" w:rsidRDefault="004C6FF8" w:rsidP="004C6FF8">
      <w:pPr>
        <w:pStyle w:val="a4"/>
        <w:rPr>
          <w:b/>
          <w:bCs/>
          <w:i/>
          <w:iCs/>
          <w:sz w:val="26"/>
          <w:szCs w:val="26"/>
        </w:rPr>
      </w:pPr>
      <w:r w:rsidRPr="00814A6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3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35443D" w:rsidRDefault="0035443D" w:rsidP="0035443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5443D" w:rsidRDefault="0035443D" w:rsidP="0035443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992"/>
      </w:tblGrid>
      <w:tr w:rsidR="0035443D" w:rsidTr="00314EA2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D" w:rsidRDefault="0035443D" w:rsidP="00314EA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D" w:rsidRDefault="0035443D" w:rsidP="00314EA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D" w:rsidRDefault="0035443D" w:rsidP="00314EA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D" w:rsidRDefault="0035443D" w:rsidP="00314EA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Производитель</w:t>
            </w:r>
          </w:p>
        </w:tc>
      </w:tr>
      <w:tr w:rsidR="0035443D" w:rsidTr="00314EA2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D" w:rsidRDefault="0035443D" w:rsidP="00314EA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D" w:rsidRDefault="0035443D" w:rsidP="00314EA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«ВСЭСС»</w:t>
            </w:r>
          </w:p>
          <w:p w:rsidR="0035443D" w:rsidRDefault="0035443D" w:rsidP="00314EA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D" w:rsidRDefault="0035443D" w:rsidP="00314EA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5 289 219,00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D" w:rsidRDefault="0035443D" w:rsidP="00314EA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35443D" w:rsidTr="00314EA2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D" w:rsidRDefault="0035443D" w:rsidP="00314EA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D" w:rsidRDefault="0035443D" w:rsidP="00314EA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«Амур-ЭП»</w:t>
            </w:r>
          </w:p>
          <w:p w:rsidR="0035443D" w:rsidRDefault="0035443D" w:rsidP="00314EA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Хабаровск, 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>- 60 лет Октября, 128а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D" w:rsidRDefault="0035443D" w:rsidP="00314EA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5 296 538,00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3D" w:rsidRDefault="0035443D" w:rsidP="00314EA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</w:tbl>
    <w:p w:rsidR="00CA34C8" w:rsidRDefault="00CA34C8" w:rsidP="0091280B">
      <w:pPr>
        <w:spacing w:line="240" w:lineRule="auto"/>
        <w:rPr>
          <w:caps/>
          <w:szCs w:val="24"/>
        </w:rPr>
      </w:pPr>
    </w:p>
    <w:p w:rsidR="004C6FF8" w:rsidRDefault="004C6FF8" w:rsidP="004C6FF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35443D" w:rsidRPr="00021D37" w:rsidRDefault="0035443D" w:rsidP="0035443D">
      <w:pPr>
        <w:spacing w:line="240" w:lineRule="auto"/>
        <w:rPr>
          <w:b/>
          <w:sz w:val="26"/>
          <w:szCs w:val="26"/>
        </w:rPr>
      </w:pPr>
      <w:r w:rsidRPr="00021D37">
        <w:rPr>
          <w:b/>
          <w:sz w:val="26"/>
          <w:szCs w:val="26"/>
        </w:rPr>
        <w:t>РЕШИЛИ:</w:t>
      </w:r>
    </w:p>
    <w:p w:rsidR="0035443D" w:rsidRPr="00EC5744" w:rsidRDefault="0035443D" w:rsidP="0035443D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 w:rsidRPr="00EC5744">
        <w:rPr>
          <w:sz w:val="26"/>
          <w:szCs w:val="26"/>
        </w:rPr>
        <w:tab/>
        <w:t xml:space="preserve">1. Планируемая стоимость закупки в </w:t>
      </w:r>
      <w:proofErr w:type="gramStart"/>
      <w:r w:rsidRPr="00EC5744">
        <w:rPr>
          <w:sz w:val="26"/>
          <w:szCs w:val="26"/>
        </w:rPr>
        <w:t>соответствии</w:t>
      </w:r>
      <w:proofErr w:type="gramEnd"/>
      <w:r w:rsidRPr="00EC5744">
        <w:rPr>
          <w:sz w:val="26"/>
          <w:szCs w:val="26"/>
        </w:rPr>
        <w:t xml:space="preserve"> с ГКПЗ: </w:t>
      </w:r>
      <w:r w:rsidRPr="00EC5744">
        <w:rPr>
          <w:b/>
          <w:i/>
          <w:sz w:val="26"/>
          <w:szCs w:val="26"/>
        </w:rPr>
        <w:t xml:space="preserve">5 296 538.00 </w:t>
      </w:r>
      <w:r w:rsidRPr="00EC5744">
        <w:rPr>
          <w:sz w:val="26"/>
          <w:szCs w:val="26"/>
        </w:rPr>
        <w:t>рублей без учета НДС (6 249 914,84 руб. с учетом НДС).</w:t>
      </w:r>
    </w:p>
    <w:p w:rsidR="0035443D" w:rsidRPr="00EC5744" w:rsidRDefault="0035443D" w:rsidP="0035443D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 w:rsidRPr="00021D37">
        <w:rPr>
          <w:sz w:val="26"/>
          <w:szCs w:val="26"/>
        </w:rPr>
        <w:t xml:space="preserve">На основании приведенной итоговой </w:t>
      </w:r>
      <w:proofErr w:type="spellStart"/>
      <w:r w:rsidRPr="00021D37">
        <w:rPr>
          <w:sz w:val="26"/>
          <w:szCs w:val="26"/>
        </w:rPr>
        <w:t>ранжировки</w:t>
      </w:r>
      <w:proofErr w:type="spellEnd"/>
      <w:r w:rsidRPr="00021D37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0C61FF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(с. Ровное, с. Мичуринское, с. Ильинка, с. </w:t>
      </w:r>
      <w:proofErr w:type="spellStart"/>
      <w:r w:rsidRPr="000C61FF">
        <w:rPr>
          <w:b/>
          <w:bCs/>
          <w:i/>
          <w:iCs/>
          <w:sz w:val="26"/>
          <w:szCs w:val="26"/>
        </w:rPr>
        <w:t>Бычиха</w:t>
      </w:r>
      <w:proofErr w:type="spellEnd"/>
      <w:r w:rsidRPr="000C61FF">
        <w:rPr>
          <w:b/>
          <w:bCs/>
          <w:i/>
          <w:iCs/>
          <w:sz w:val="26"/>
          <w:szCs w:val="26"/>
        </w:rPr>
        <w:t xml:space="preserve">, с. </w:t>
      </w:r>
      <w:proofErr w:type="spellStart"/>
      <w:r w:rsidRPr="000C61FF">
        <w:rPr>
          <w:b/>
          <w:bCs/>
          <w:i/>
          <w:iCs/>
          <w:sz w:val="26"/>
          <w:szCs w:val="26"/>
        </w:rPr>
        <w:t>Краснореченское</w:t>
      </w:r>
      <w:proofErr w:type="spellEnd"/>
      <w:r w:rsidRPr="000C61FF">
        <w:rPr>
          <w:b/>
          <w:bCs/>
          <w:i/>
          <w:iCs/>
          <w:sz w:val="26"/>
          <w:szCs w:val="26"/>
        </w:rPr>
        <w:t xml:space="preserve">, с. Восточное, с. </w:t>
      </w:r>
      <w:proofErr w:type="spellStart"/>
      <w:r w:rsidRPr="000C61FF">
        <w:rPr>
          <w:b/>
          <w:bCs/>
          <w:i/>
          <w:iCs/>
          <w:sz w:val="26"/>
          <w:szCs w:val="26"/>
        </w:rPr>
        <w:t>Некрасовка</w:t>
      </w:r>
      <w:proofErr w:type="spellEnd"/>
      <w:r w:rsidRPr="000C61FF">
        <w:rPr>
          <w:b/>
          <w:bCs/>
          <w:i/>
          <w:iCs/>
          <w:sz w:val="26"/>
          <w:szCs w:val="26"/>
        </w:rPr>
        <w:t>, с. Осиновая Речка, с</w:t>
      </w:r>
      <w:r w:rsidRPr="00EC5744">
        <w:rPr>
          <w:b/>
          <w:bCs/>
          <w:i/>
          <w:iCs/>
          <w:sz w:val="26"/>
          <w:szCs w:val="26"/>
        </w:rPr>
        <w:t>. Новотроицкое, 21 км Сарапульского шоссе, в р-не Малого аэропорта</w:t>
      </w:r>
      <w:proofErr w:type="gramEnd"/>
      <w:r w:rsidRPr="00EC5744">
        <w:rPr>
          <w:b/>
          <w:bCs/>
          <w:i/>
          <w:iCs/>
          <w:sz w:val="26"/>
          <w:szCs w:val="26"/>
        </w:rPr>
        <w:t xml:space="preserve">, </w:t>
      </w:r>
      <w:proofErr w:type="gramStart"/>
      <w:r w:rsidRPr="00EC5744">
        <w:rPr>
          <w:b/>
          <w:bCs/>
          <w:i/>
          <w:iCs/>
          <w:sz w:val="26"/>
          <w:szCs w:val="26"/>
        </w:rPr>
        <w:t xml:space="preserve">Хабаровск г, в р-не с. Гаровка-1)  </w:t>
      </w:r>
      <w:r w:rsidRPr="00EC5744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EC5744">
        <w:rPr>
          <w:sz w:val="26"/>
          <w:szCs w:val="26"/>
        </w:rPr>
        <w:t>ранжировке</w:t>
      </w:r>
      <w:proofErr w:type="spellEnd"/>
      <w:r w:rsidRPr="00EC5744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EC5744">
        <w:rPr>
          <w:b/>
          <w:i/>
          <w:sz w:val="26"/>
          <w:szCs w:val="26"/>
        </w:rPr>
        <w:t xml:space="preserve"> АО «ВСЭСС» </w:t>
      </w:r>
      <w:r w:rsidRPr="00EC5744">
        <w:rPr>
          <w:sz w:val="26"/>
          <w:szCs w:val="26"/>
        </w:rPr>
        <w:t xml:space="preserve">г. Хабаровск, ул. Тихоокеанская, 165: на условиях: стоимость заявки </w:t>
      </w:r>
      <w:r w:rsidRPr="00EC5744">
        <w:rPr>
          <w:sz w:val="26"/>
          <w:szCs w:val="26"/>
          <w:lang w:eastAsia="en-US"/>
        </w:rPr>
        <w:t xml:space="preserve"> </w:t>
      </w:r>
      <w:r w:rsidRPr="00EC5744">
        <w:rPr>
          <w:b/>
          <w:i/>
          <w:sz w:val="26"/>
          <w:szCs w:val="26"/>
        </w:rPr>
        <w:t xml:space="preserve">5 289 219,00 </w:t>
      </w:r>
      <w:r w:rsidRPr="00EC5744">
        <w:rPr>
          <w:sz w:val="26"/>
          <w:szCs w:val="26"/>
        </w:rPr>
        <w:t>рублей без учета НДС (6 241 278,42 руб. с учетом НДС</w:t>
      </w:r>
      <w:r w:rsidRPr="00EC5744">
        <w:rPr>
          <w:sz w:val="26"/>
          <w:szCs w:val="26"/>
          <w:lang w:eastAsia="en-US"/>
        </w:rPr>
        <w:t>). Срок выполнения работ: с момента заключения договора по 13.10.2017 г. Условия оплаты: в течение 60 календарных дней с момента подписания актов выполненных работ. Гарантийные обязательства: гарантия на своевременное и качественное выполнение работ, а также на устранение дефектов, возникших по нашей вине в течение 60 мес. с момента приемки  выполненных работ.</w:t>
      </w:r>
    </w:p>
    <w:p w:rsidR="0035443D" w:rsidRDefault="0035443D" w:rsidP="0035443D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</w:p>
    <w:p w:rsidR="004C6FF8" w:rsidRPr="002829CE" w:rsidRDefault="004C6FF8" w:rsidP="00814A65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C6FF8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Челышева Т.В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4C6FF8" w:rsidRDefault="004C6FF8" w:rsidP="00DE0923">
      <w:pPr>
        <w:pStyle w:val="a4"/>
        <w:jc w:val="both"/>
        <w:rPr>
          <w:b/>
          <w:sz w:val="26"/>
          <w:szCs w:val="26"/>
        </w:rPr>
      </w:pPr>
    </w:p>
    <w:p w:rsidR="004C6FF8" w:rsidRDefault="004C6FF8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proofErr w:type="spellStart"/>
      <w:r w:rsidRPr="00123F9B">
        <w:rPr>
          <w:b/>
          <w:sz w:val="24"/>
          <w:szCs w:val="26"/>
        </w:rPr>
        <w:t>Коврижкина</w:t>
      </w:r>
      <w:proofErr w:type="spellEnd"/>
      <w:r w:rsidRPr="00123F9B">
        <w:rPr>
          <w:b/>
          <w:sz w:val="24"/>
          <w:szCs w:val="26"/>
        </w:rPr>
        <w:t xml:space="preserve">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ED" w:rsidRDefault="00B017ED" w:rsidP="00355095">
      <w:pPr>
        <w:spacing w:line="240" w:lineRule="auto"/>
      </w:pPr>
      <w:r>
        <w:separator/>
      </w:r>
    </w:p>
  </w:endnote>
  <w:endnote w:type="continuationSeparator" w:id="0">
    <w:p w:rsidR="00B017ED" w:rsidRDefault="00B017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38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38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ED" w:rsidRDefault="00B017ED" w:rsidP="00355095">
      <w:pPr>
        <w:spacing w:line="240" w:lineRule="auto"/>
      </w:pPr>
      <w:r>
        <w:separator/>
      </w:r>
    </w:p>
  </w:footnote>
  <w:footnote w:type="continuationSeparator" w:id="0">
    <w:p w:rsidR="00B017ED" w:rsidRDefault="00B017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6FF8">
      <w:rPr>
        <w:i/>
        <w:sz w:val="20"/>
      </w:rPr>
      <w:t>20</w:t>
    </w:r>
    <w:r w:rsidR="006800D6">
      <w:rPr>
        <w:i/>
        <w:sz w:val="20"/>
      </w:rPr>
      <w:t>9</w:t>
    </w:r>
    <w:r w:rsidR="0035443D">
      <w:rPr>
        <w:i/>
        <w:sz w:val="20"/>
      </w:rPr>
      <w:t>8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95C6E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A0D9F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1E73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26169"/>
    <w:rsid w:val="0033009A"/>
    <w:rsid w:val="00340D88"/>
    <w:rsid w:val="00352406"/>
    <w:rsid w:val="0035443D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6FF8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0D6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7EB"/>
    <w:rsid w:val="00804388"/>
    <w:rsid w:val="00807ED5"/>
    <w:rsid w:val="00814A65"/>
    <w:rsid w:val="00821FF6"/>
    <w:rsid w:val="00835365"/>
    <w:rsid w:val="00861C62"/>
    <w:rsid w:val="008630C2"/>
    <w:rsid w:val="00863FCF"/>
    <w:rsid w:val="00864009"/>
    <w:rsid w:val="00873870"/>
    <w:rsid w:val="008759B3"/>
    <w:rsid w:val="008848D3"/>
    <w:rsid w:val="00886219"/>
    <w:rsid w:val="0088746E"/>
    <w:rsid w:val="0089281F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1909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B225C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17E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47F3F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237B"/>
    <w:rsid w:val="00BA4434"/>
    <w:rsid w:val="00BA607B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156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6A6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107</cp:revision>
  <cp:lastPrinted>2017-07-04T06:18:00Z</cp:lastPrinted>
  <dcterms:created xsi:type="dcterms:W3CDTF">2014-08-07T23:18:00Z</dcterms:created>
  <dcterms:modified xsi:type="dcterms:W3CDTF">2017-07-05T05:09:00Z</dcterms:modified>
</cp:coreProperties>
</file>