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C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C6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C61FF" w:rsidP="000C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C61FF" w:rsidRPr="000C61FF" w:rsidRDefault="00FC60A5" w:rsidP="000C61FF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>
        <w:rPr>
          <w:b/>
          <w:sz w:val="26"/>
          <w:szCs w:val="26"/>
        </w:rPr>
        <w:t>Способ и предмет закупки:</w:t>
      </w:r>
      <w:r>
        <w:rPr>
          <w:sz w:val="26"/>
          <w:szCs w:val="26"/>
        </w:rPr>
        <w:t xml:space="preserve"> </w:t>
      </w:r>
      <w:r w:rsidR="000C61FF" w:rsidRPr="000C61FF">
        <w:rPr>
          <w:sz w:val="26"/>
          <w:szCs w:val="26"/>
        </w:rPr>
        <w:t xml:space="preserve">открытый запрос цен на право заключения Договора на выполнение работ: </w:t>
      </w:r>
      <w:proofErr w:type="gramStart"/>
      <w:r w:rsidR="000C61FF" w:rsidRPr="000C61FF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 (с. Ровное, с. Мичуринское, с. Ильинка, с. </w:t>
      </w:r>
      <w:proofErr w:type="spellStart"/>
      <w:r w:rsidR="000C61FF" w:rsidRPr="000C61FF">
        <w:rPr>
          <w:b/>
          <w:bCs/>
          <w:i/>
          <w:iCs/>
          <w:snapToGrid w:val="0"/>
          <w:sz w:val="26"/>
          <w:szCs w:val="26"/>
        </w:rPr>
        <w:t>Бычиха</w:t>
      </w:r>
      <w:proofErr w:type="spellEnd"/>
      <w:r w:rsidR="000C61FF" w:rsidRPr="000C61FF">
        <w:rPr>
          <w:b/>
          <w:bCs/>
          <w:i/>
          <w:iCs/>
          <w:snapToGrid w:val="0"/>
          <w:sz w:val="26"/>
          <w:szCs w:val="26"/>
        </w:rPr>
        <w:t xml:space="preserve">, с. </w:t>
      </w:r>
      <w:proofErr w:type="spellStart"/>
      <w:r w:rsidR="000C61FF" w:rsidRPr="000C61FF">
        <w:rPr>
          <w:b/>
          <w:bCs/>
          <w:i/>
          <w:iCs/>
          <w:snapToGrid w:val="0"/>
          <w:sz w:val="26"/>
          <w:szCs w:val="26"/>
        </w:rPr>
        <w:t>Краснореченское</w:t>
      </w:r>
      <w:proofErr w:type="spellEnd"/>
      <w:r w:rsidR="000C61FF" w:rsidRPr="000C61FF">
        <w:rPr>
          <w:b/>
          <w:bCs/>
          <w:i/>
          <w:iCs/>
          <w:snapToGrid w:val="0"/>
          <w:sz w:val="26"/>
          <w:szCs w:val="26"/>
        </w:rPr>
        <w:t xml:space="preserve">, с. Восточное, с. </w:t>
      </w:r>
      <w:proofErr w:type="spellStart"/>
      <w:r w:rsidR="000C61FF" w:rsidRPr="000C61FF">
        <w:rPr>
          <w:b/>
          <w:bCs/>
          <w:i/>
          <w:iCs/>
          <w:snapToGrid w:val="0"/>
          <w:sz w:val="26"/>
          <w:szCs w:val="26"/>
        </w:rPr>
        <w:t>Некрасовка</w:t>
      </w:r>
      <w:proofErr w:type="spellEnd"/>
      <w:r w:rsidR="000C61FF" w:rsidRPr="000C61FF">
        <w:rPr>
          <w:b/>
          <w:bCs/>
          <w:i/>
          <w:iCs/>
          <w:snapToGrid w:val="0"/>
          <w:sz w:val="26"/>
          <w:szCs w:val="26"/>
        </w:rPr>
        <w:t>, с. Осиновая Речка, с. Новотроицкое, 21 км Сарапульского шоссе, в р-не Малого аэропорта, Хабаровск г, в р-не с. Гаровка-1)</w:t>
      </w:r>
      <w:proofErr w:type="gramEnd"/>
    </w:p>
    <w:p w:rsidR="000C61FF" w:rsidRPr="000C61FF" w:rsidRDefault="000C61FF" w:rsidP="000C61F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№ 2098 р. 2.1.1. Плановая стоимость закупки: </w:t>
      </w:r>
      <w:r w:rsidRPr="000C61FF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5 296 538.00 </w:t>
      </w:r>
      <w:r w:rsidRPr="000C61F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(6 249 914,84  </w:t>
      </w:r>
      <w:r w:rsidRPr="000C61F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 с учетом НДС).</w:t>
      </w:r>
    </w:p>
    <w:p w:rsidR="00FC60A5" w:rsidRDefault="00FC60A5" w:rsidP="000C61FF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0C61FF" w:rsidRPr="000C61FF" w:rsidRDefault="000B6477" w:rsidP="000C61FF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F426EE" w:rsidRPr="00F426EE">
        <w:rPr>
          <w:snapToGrid w:val="0"/>
          <w:sz w:val="26"/>
          <w:szCs w:val="26"/>
        </w:rPr>
        <w:t xml:space="preserve">поступила </w:t>
      </w:r>
      <w:r w:rsidR="000C61FF" w:rsidRPr="000C61FF">
        <w:rPr>
          <w:snapToGrid w:val="0"/>
          <w:sz w:val="26"/>
          <w:szCs w:val="26"/>
        </w:rPr>
        <w:t>2</w:t>
      </w:r>
      <w:r w:rsidR="000C61FF" w:rsidRPr="000C61FF">
        <w:rPr>
          <w:sz w:val="26"/>
          <w:szCs w:val="26"/>
        </w:rPr>
        <w:t xml:space="preserve"> (две) заявки  на участие в закупке, с которыми были размещены в электронном виде на сайте Единой электронной торговой площадки (АО </w:t>
      </w:r>
      <w:bookmarkStart w:id="0" w:name="_GoBack"/>
      <w:bookmarkEnd w:id="0"/>
      <w:r w:rsidR="000C61FF" w:rsidRPr="000C61FF">
        <w:rPr>
          <w:sz w:val="26"/>
          <w:szCs w:val="26"/>
        </w:rPr>
        <w:t xml:space="preserve">«ЕЭТП»), по адресу в сети «Интернет»: </w:t>
      </w:r>
      <w:hyperlink r:id="rId10" w:history="1">
        <w:r w:rsidR="000C61FF" w:rsidRPr="000C61FF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0C61FF" w:rsidRPr="000C61FF">
        <w:rPr>
          <w:sz w:val="26"/>
          <w:szCs w:val="26"/>
        </w:rPr>
        <w:t>.</w:t>
      </w:r>
    </w:p>
    <w:p w:rsidR="000C61FF" w:rsidRPr="000C61FF" w:rsidRDefault="000C61FF" w:rsidP="000C61F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0C61F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0C6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0C61FF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0C6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0C61FF" w:rsidRPr="000C61FF" w:rsidRDefault="000C61FF" w:rsidP="000C61F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1FF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участников: 15:00 (время местное) 28.06.2017.</w:t>
      </w:r>
    </w:p>
    <w:p w:rsidR="000C61FF" w:rsidRPr="000C61FF" w:rsidRDefault="000C61FF" w:rsidP="000C61F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0C61FF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0C61FF" w:rsidRPr="000C61FF" w:rsidRDefault="000C61FF" w:rsidP="000C61F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1FF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110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245"/>
      </w:tblGrid>
      <w:tr w:rsidR="000C61FF" w:rsidRPr="000C61FF" w:rsidTr="007E1969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FF" w:rsidRPr="000C61FF" w:rsidRDefault="000C61FF" w:rsidP="000C61F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0C61FF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№</w:t>
            </w:r>
          </w:p>
          <w:p w:rsidR="000C61FF" w:rsidRPr="000C61FF" w:rsidRDefault="000C61FF" w:rsidP="000C61F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proofErr w:type="gramStart"/>
            <w:r w:rsidRPr="000C61FF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п</w:t>
            </w:r>
            <w:proofErr w:type="gramEnd"/>
            <w:r w:rsidRPr="000C61FF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FF" w:rsidRPr="000C61FF" w:rsidRDefault="000C61FF" w:rsidP="000C61F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0C61FF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FF" w:rsidRPr="000C61FF" w:rsidRDefault="000C61FF" w:rsidP="000C61F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0C61FF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0C61FF" w:rsidRPr="000C61FF" w:rsidTr="007E1969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FF" w:rsidRPr="000C61FF" w:rsidRDefault="000C61FF" w:rsidP="000C61F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0C61F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FF" w:rsidRPr="000C61FF" w:rsidRDefault="000C61FF" w:rsidP="000C61FF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0C61F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АО «ВСЭСС»</w:t>
            </w:r>
          </w:p>
          <w:p w:rsidR="000C61FF" w:rsidRPr="000C61FF" w:rsidRDefault="000C61FF" w:rsidP="000C61F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0C61FF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 w:rsidRPr="000C61FF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Тихоокеанская</w:t>
            </w:r>
            <w:proofErr w:type="gramEnd"/>
            <w:r w:rsidRPr="000C61FF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165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FF" w:rsidRPr="000C61FF" w:rsidRDefault="000C61FF" w:rsidP="000C61FF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0C61FF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0C61F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5 289 219,00 </w:t>
            </w:r>
            <w:r w:rsidRPr="000C61F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рублей без учета НДС (6 241 278,42 руб. с учетом НДС</w:t>
            </w:r>
            <w:r w:rsidRPr="000C61FF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). </w:t>
            </w:r>
          </w:p>
        </w:tc>
      </w:tr>
      <w:tr w:rsidR="000C61FF" w:rsidRPr="000C61FF" w:rsidTr="007E1969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FF" w:rsidRPr="000C61FF" w:rsidRDefault="000C61FF" w:rsidP="000C61F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0C61F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FF" w:rsidRPr="000C61FF" w:rsidRDefault="000C61FF" w:rsidP="000C61FF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0C61F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«Амур-ЭП»</w:t>
            </w:r>
          </w:p>
          <w:p w:rsidR="000C61FF" w:rsidRPr="000C61FF" w:rsidRDefault="000C61FF" w:rsidP="000C61F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0C61FF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Хабаровск, </w:t>
            </w:r>
            <w:proofErr w:type="spellStart"/>
            <w:proofErr w:type="gramStart"/>
            <w:r w:rsidRPr="000C61FF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пр</w:t>
            </w:r>
            <w:proofErr w:type="spellEnd"/>
            <w:proofErr w:type="gramEnd"/>
            <w:r w:rsidRPr="000C61FF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- 60 лет Октября, 128а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FF" w:rsidRPr="000C61FF" w:rsidRDefault="000C61FF" w:rsidP="000C61FF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0C61FF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0C61F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5 296 538,00 </w:t>
            </w:r>
            <w:r w:rsidRPr="000C61F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рублей без учета НДС (6 249 914,84 руб. с учетом НДС</w:t>
            </w:r>
            <w:r w:rsidRPr="000C61FF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). </w:t>
            </w:r>
          </w:p>
        </w:tc>
      </w:tr>
    </w:tbl>
    <w:p w:rsidR="008762E3" w:rsidRDefault="008762E3" w:rsidP="000C61FF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0C61FF">
        <w:rPr>
          <w:b/>
          <w:i/>
          <w:sz w:val="26"/>
          <w:szCs w:val="26"/>
        </w:rPr>
        <w:t>Т.В. Челышева</w:t>
      </w:r>
    </w:p>
    <w:p w:rsidR="00F426EE" w:rsidRDefault="00F426EE" w:rsidP="007B10EC">
      <w:pPr>
        <w:pStyle w:val="ab"/>
        <w:jc w:val="both"/>
        <w:rPr>
          <w:b/>
          <w:i/>
          <w:sz w:val="14"/>
        </w:rPr>
      </w:pPr>
    </w:p>
    <w:p w:rsidR="00F426EE" w:rsidRPr="009831D8" w:rsidRDefault="00F426EE" w:rsidP="007B10EC">
      <w:pPr>
        <w:pStyle w:val="ab"/>
        <w:jc w:val="both"/>
        <w:rPr>
          <w:b/>
          <w:i/>
          <w:sz w:val="1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9831D8">
      <w:headerReference w:type="default" r:id="rId13"/>
      <w:footerReference w:type="default" r:id="rId14"/>
      <w:pgSz w:w="11906" w:h="16838"/>
      <w:pgMar w:top="426" w:right="850" w:bottom="284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729" w:rsidRDefault="00DF5729" w:rsidP="000F4708">
      <w:pPr>
        <w:spacing w:after="0" w:line="240" w:lineRule="auto"/>
      </w:pPr>
      <w:r>
        <w:separator/>
      </w:r>
    </w:p>
  </w:endnote>
  <w:endnote w:type="continuationSeparator" w:id="0">
    <w:p w:rsidR="00DF5729" w:rsidRDefault="00DF572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569917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1F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729" w:rsidRDefault="00DF5729" w:rsidP="000F4708">
      <w:pPr>
        <w:spacing w:after="0" w:line="240" w:lineRule="auto"/>
      </w:pPr>
      <w:r>
        <w:separator/>
      </w:r>
    </w:p>
  </w:footnote>
  <w:footnote w:type="continuationSeparator" w:id="0">
    <w:p w:rsidR="00DF5729" w:rsidRDefault="00DF572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57D0"/>
    <w:rsid w:val="00017ABB"/>
    <w:rsid w:val="000205D0"/>
    <w:rsid w:val="00023DF3"/>
    <w:rsid w:val="00025D5C"/>
    <w:rsid w:val="000302B2"/>
    <w:rsid w:val="00036A5E"/>
    <w:rsid w:val="00040BFE"/>
    <w:rsid w:val="00043130"/>
    <w:rsid w:val="00044819"/>
    <w:rsid w:val="00053ACD"/>
    <w:rsid w:val="00055B77"/>
    <w:rsid w:val="00057BC8"/>
    <w:rsid w:val="000656A7"/>
    <w:rsid w:val="00066B2E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C61FF"/>
    <w:rsid w:val="000D18F2"/>
    <w:rsid w:val="000E5457"/>
    <w:rsid w:val="000F1326"/>
    <w:rsid w:val="000F4708"/>
    <w:rsid w:val="000F546D"/>
    <w:rsid w:val="00104147"/>
    <w:rsid w:val="001114A0"/>
    <w:rsid w:val="00116B9F"/>
    <w:rsid w:val="00117B44"/>
    <w:rsid w:val="00126847"/>
    <w:rsid w:val="0013240B"/>
    <w:rsid w:val="00143A90"/>
    <w:rsid w:val="00156ED5"/>
    <w:rsid w:val="001611B7"/>
    <w:rsid w:val="001673C5"/>
    <w:rsid w:val="0019396B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33AE2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51AE8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8F66A5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2805"/>
    <w:rsid w:val="009831D8"/>
    <w:rsid w:val="00984DB5"/>
    <w:rsid w:val="009852C6"/>
    <w:rsid w:val="00987993"/>
    <w:rsid w:val="00996BC9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73664"/>
    <w:rsid w:val="00B762E9"/>
    <w:rsid w:val="00B855FE"/>
    <w:rsid w:val="00B9745F"/>
    <w:rsid w:val="00BA3D33"/>
    <w:rsid w:val="00BA5317"/>
    <w:rsid w:val="00BD0F18"/>
    <w:rsid w:val="00BF35EB"/>
    <w:rsid w:val="00BF646C"/>
    <w:rsid w:val="00C06298"/>
    <w:rsid w:val="00C26636"/>
    <w:rsid w:val="00C36D6D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5729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1512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426EE"/>
    <w:rsid w:val="00F64FCE"/>
    <w:rsid w:val="00F65132"/>
    <w:rsid w:val="00F6533B"/>
    <w:rsid w:val="00F96838"/>
    <w:rsid w:val="00F96F29"/>
    <w:rsid w:val="00FA65A5"/>
    <w:rsid w:val="00FA75C6"/>
    <w:rsid w:val="00FC60A5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689EA-BEFB-4949-BAB2-A00CB31F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52</cp:revision>
  <cp:lastPrinted>2017-04-27T07:19:00Z</cp:lastPrinted>
  <dcterms:created xsi:type="dcterms:W3CDTF">2015-02-12T07:40:00Z</dcterms:created>
  <dcterms:modified xsi:type="dcterms:W3CDTF">2017-06-29T01:25:00Z</dcterms:modified>
</cp:coreProperties>
</file>