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C06492" w:rsidRPr="00C06492" w:rsidTr="00C06492">
        <w:tc>
          <w:tcPr>
            <w:tcW w:w="4608" w:type="dxa"/>
          </w:tcPr>
          <w:p w:rsidR="00FB3B60" w:rsidRPr="00C06492" w:rsidRDefault="00FB3B60" w:rsidP="003337DC">
            <w:pPr>
              <w:widowControl w:val="0"/>
              <w:tabs>
                <w:tab w:val="left" w:pos="720"/>
              </w:tabs>
              <w:spacing w:after="0"/>
              <w:ind w:left="720" w:hanging="72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УТВЕРЖДАЮ:</w:t>
            </w:r>
          </w:p>
          <w:p w:rsidR="00C06492" w:rsidRPr="00C06492" w:rsidRDefault="00C06492" w:rsidP="003337DC">
            <w:pPr>
              <w:widowControl w:val="0"/>
              <w:tabs>
                <w:tab w:val="left" w:pos="79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49190C" w:rsidRDefault="00525632" w:rsidP="003337DC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З</w:t>
            </w:r>
            <w:r w:rsidR="00E013C9"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ь</w:t>
            </w:r>
            <w:r w:rsidR="00E013C9"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директора</w:t>
            </w:r>
            <w:r w:rsidR="005F3EA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C06492" w:rsidRPr="00E013C9" w:rsidRDefault="0049190C" w:rsidP="003337DC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по развитию и инвестициям </w:t>
            </w:r>
            <w:r w:rsidR="005F3EA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филиала  АО «ДРСК»</w:t>
            </w:r>
            <w:r w:rsidR="00AD4C7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F3EAA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«Амурские ЭС»</w:t>
            </w:r>
          </w:p>
          <w:p w:rsidR="00C06492" w:rsidRPr="00C06492" w:rsidRDefault="00C06492" w:rsidP="003337DC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C06492" w:rsidRPr="00C06492" w:rsidRDefault="009609E7" w:rsidP="003337DC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</w:t>
            </w:r>
            <w:proofErr w:type="spellStart"/>
            <w:r w:rsidR="0052563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А.А.Майоров</w:t>
            </w:r>
            <w:proofErr w:type="spellEnd"/>
          </w:p>
          <w:p w:rsidR="006824D2" w:rsidRPr="00C06492" w:rsidRDefault="00C06492" w:rsidP="002B0135">
            <w:pPr>
              <w:widowControl w:val="0"/>
              <w:tabs>
                <w:tab w:val="left" w:pos="7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«___» ________________  20</w:t>
            </w:r>
            <w:r w:rsidR="004B2EA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</w:t>
            </w:r>
            <w:r w:rsidR="002B0135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7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5040" w:type="dxa"/>
          </w:tcPr>
          <w:p w:rsidR="00C06492" w:rsidRPr="00E013C9" w:rsidRDefault="00C06492" w:rsidP="003337DC">
            <w:pPr>
              <w:widowControl w:val="0"/>
              <w:tabs>
                <w:tab w:val="left" w:pos="720"/>
              </w:tabs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06492" w:rsidRPr="00C06492" w:rsidRDefault="00C06492" w:rsidP="003337DC">
      <w:pPr>
        <w:widowControl w:val="0"/>
        <w:tabs>
          <w:tab w:val="left" w:pos="720"/>
        </w:tabs>
        <w:spacing w:after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1761FD" w:rsidRDefault="001761FD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Pr="0043733B" w:rsidRDefault="0022466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proofErr w:type="gramStart"/>
      <w:r w:rsidR="00597A47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1F9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9341F9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9341F9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proofErr w:type="spellStart"/>
      <w:r w:rsidR="00C57238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Мосикян</w:t>
      </w:r>
      <w:proofErr w:type="spellEnd"/>
      <w:r w:rsidR="00C57238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597A47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CF7F3B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04C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proofErr w:type="spellStart"/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Кокшарова</w:t>
      </w:r>
      <w:proofErr w:type="spellEnd"/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Т.В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24253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</w:t>
      </w:r>
      <w:proofErr w:type="spellStart"/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Камышан</w:t>
      </w:r>
      <w:proofErr w:type="spellEnd"/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В.Л</w:t>
      </w:r>
      <w:r w:rsidR="0048466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Благовещенск, (</w:t>
      </w:r>
      <w:proofErr w:type="spellStart"/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Гоменюк</w:t>
      </w:r>
      <w:proofErr w:type="spellEnd"/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4C80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Благовещенск</w:t>
      </w:r>
      <w:r w:rsid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>Герасименко С.И</w:t>
      </w:r>
      <w:r w:rsidR="00AD4C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D4C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4783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 Благовещенск, (</w:t>
      </w:r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proofErr w:type="spellStart"/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АмурМедиаГрупп</w:t>
      </w:r>
      <w:proofErr w:type="spellEnd"/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>Анойкин</w:t>
      </w:r>
      <w:proofErr w:type="spellEnd"/>
      <w:r w:rsidR="00C57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П.В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13BE9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Павлова Т.М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 (</w:t>
      </w:r>
      <w:proofErr w:type="spellStart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Лапеченкова</w:t>
      </w:r>
      <w:proofErr w:type="spellEnd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О.В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Андреева Г.Н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Фомичева И.М.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Путилов В.В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90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Конева А.А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FB3B60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Молозева</w:t>
      </w:r>
      <w:proofErr w:type="spellEnd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Т.Ю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proofErr w:type="spellStart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Голофастов</w:t>
      </w:r>
      <w:proofErr w:type="spellEnd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П.М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0D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Филиппов А.М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F7F3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60D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Дёмин О.Г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A84014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Суворов С.Б.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A84014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Титова С.В.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E759BC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Дудник Ю.Е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proofErr w:type="spellStart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Простакишина</w:t>
      </w:r>
      <w:proofErr w:type="spellEnd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Р.К</w:t>
      </w:r>
      <w:r w:rsidR="00B34571" w:rsidRPr="00B3457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Иваненко В.И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Реконструкция </w:t>
      </w:r>
      <w:proofErr w:type="gramStart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 </w:t>
      </w:r>
      <w:proofErr w:type="spellStart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Благовещенский район,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Кочетков А.Б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proofErr w:type="spellStart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Чевичалов</w:t>
      </w:r>
      <w:proofErr w:type="spellEnd"/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А.Г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КФХ Филатова Н.В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70255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4C75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proofErr w:type="spellStart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Пуреева</w:t>
      </w:r>
      <w:proofErr w:type="spellEnd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П.Е.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лаговещенск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proofErr w:type="spellStart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Кашлаева</w:t>
      </w:r>
      <w:proofErr w:type="spellEnd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О.В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proofErr w:type="spellStart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Колодина</w:t>
      </w:r>
      <w:proofErr w:type="spellEnd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Ю.В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4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Попов И.А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F437A1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540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 (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КФХ Гасанова </w:t>
      </w:r>
      <w:proofErr w:type="spellStart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Г.А.к</w:t>
      </w:r>
      <w:proofErr w:type="spellEnd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31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5F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335F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5F3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335F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«Фараон»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43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Коломыцин</w:t>
      </w:r>
      <w:proofErr w:type="spellEnd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Д.А.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Чигири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Половко</w:t>
      </w:r>
      <w:proofErr w:type="spellEnd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Т.М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437A1" w:rsidRDefault="00F437A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 w:rsidRP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Чигири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Шарун</w:t>
      </w:r>
      <w:proofErr w:type="spellEnd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Н.С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67184" w:rsidRDefault="0056718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04D2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Реконструкция ТП 10/0,4 кВ с. Чигири </w:t>
      </w:r>
      <w:r w:rsidR="00D1008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ого района, </w:t>
      </w:r>
      <w:r w:rsidR="00D1008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Рудакова А.А.</w:t>
      </w:r>
      <w:r w:rsidR="00D1008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804D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67184" w:rsidRDefault="0056718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Копылов А.Г</w:t>
      </w:r>
      <w:r w:rsidR="000901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901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912AE" w:rsidRDefault="0056718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 </w:t>
      </w:r>
      <w:proofErr w:type="spellStart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Зазейский</w:t>
      </w:r>
      <w:proofErr w:type="spellEnd"/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Дадов</w:t>
      </w:r>
      <w:proofErr w:type="spellEnd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С.В</w:t>
      </w:r>
      <w:r w:rsidR="00D912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912AE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4AB6" w:rsidRDefault="00274AB6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BE5FD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п. </w:t>
      </w:r>
      <w:proofErr w:type="spellStart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Зазейский</w:t>
      </w:r>
      <w:proofErr w:type="spellEnd"/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Лысак Т.В</w:t>
      </w:r>
      <w:r w:rsidR="00BB42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42E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4AB6" w:rsidRDefault="00274AB6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BE5FD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п. </w:t>
      </w:r>
      <w:proofErr w:type="spellStart"/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Зазейский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Чуб В.Г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F3F2F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r w:rsidR="00274A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E5FDB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Заречный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4F7FF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Радостева</w:t>
      </w:r>
      <w:proofErr w:type="spellEnd"/>
      <w:r w:rsidR="004F7F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В.А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F3F2F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41</w:t>
      </w:r>
      <w:r w:rsidR="00274A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Семенова Г.А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4AB6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74A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Щёголев Н.В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7B1B0B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16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717164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района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Кузнецова И.В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1866B2" w:rsidRDefault="001866B2" w:rsidP="001866B2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44.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с. 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района, (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Карпов Г.А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579D2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B2A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958D0" w:rsidRP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E958D0" w:rsidRP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Хоменко А.А</w:t>
      </w:r>
      <w:r w:rsidR="00213E5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579D2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55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16F" w:rsidRP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15516F" w:rsidRP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Байрамов </w:t>
      </w:r>
      <w:proofErr w:type="spellStart"/>
      <w:r w:rsidR="00D10080">
        <w:rPr>
          <w:rFonts w:ascii="Times New Roman" w:eastAsia="Times New Roman" w:hAnsi="Times New Roman" w:cs="Times New Roman"/>
          <w:sz w:val="26"/>
          <w:szCs w:val="26"/>
          <w:lang w:eastAsia="ru-RU"/>
        </w:rPr>
        <w:t>Ш.И.о</w:t>
      </w:r>
      <w:proofErr w:type="spellEnd"/>
      <w:r w:rsidR="001551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15516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D68AD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1551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16F" w:rsidRP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15516F" w:rsidRPr="00E958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Гераськина</w:t>
      </w:r>
      <w:proofErr w:type="spellEnd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Л.П</w:t>
      </w:r>
      <w:r w:rsidR="001551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5516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15516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D68AD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района, (</w:t>
      </w:r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Никогда Н.П</w:t>
      </w:r>
      <w:r w:rsidR="00C2396B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0579D2" w:rsidRDefault="000579D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B2A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1549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0C1549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Барацунова</w:t>
      </w:r>
      <w:proofErr w:type="spellEnd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Н.А</w:t>
      </w:r>
      <w:r w:rsidR="000C154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579D2" w:rsidRDefault="001866B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="000579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Сигидин</w:t>
      </w:r>
      <w:proofErr w:type="spellEnd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С.В</w:t>
      </w:r>
      <w:r w:rsidR="002B2A1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13E5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F3F2F" w:rsidRDefault="00A84014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B3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proofErr w:type="spellEnd"/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Грабко</w:t>
      </w:r>
      <w:proofErr w:type="spellEnd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П.Е</w:t>
      </w:r>
      <w:r w:rsidR="002B2A1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F3F2F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F3F2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F3F2F" w:rsidRDefault="00AF3F2F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Новопетровка</w:t>
      </w:r>
      <w:proofErr w:type="spellEnd"/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Лагода</w:t>
      </w:r>
      <w:proofErr w:type="spellEnd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О.В</w:t>
      </w:r>
      <w:r w:rsidR="002B2A1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6BBE" w:rsidRDefault="00A56BB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Новотроицкое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Мяснова</w:t>
      </w:r>
      <w:proofErr w:type="spellEnd"/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В.А</w:t>
      </w:r>
      <w:r w:rsidR="000C154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3733B" w:rsidRDefault="004373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6BBE" w:rsidRDefault="00A56BB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Новотроицкое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Бакуменко Д.В</w:t>
      </w:r>
      <w:r w:rsidR="000C154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6BBE" w:rsidRDefault="00A56BB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8E704E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Новотроицкое</w:t>
      </w:r>
      <w:r w:rsidR="008E704E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Рахимова С.В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6BBE" w:rsidRDefault="00A56BB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ECD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</w:t>
      </w:r>
      <w:proofErr w:type="spellEnd"/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-Ивановка</w:t>
      </w:r>
      <w:r w:rsidR="003B7ECD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Юнаев</w:t>
      </w:r>
      <w:proofErr w:type="spellEnd"/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Н.С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7109A" w:rsidRDefault="00A56BB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ECD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Грибское</w:t>
      </w:r>
      <w:proofErr w:type="spellEnd"/>
      <w:r w:rsidR="003B7ECD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Трахинин</w:t>
      </w:r>
      <w:proofErr w:type="spellEnd"/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09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6BBE" w:rsidRDefault="00A56BB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ECD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Егорьевка</w:t>
      </w:r>
      <w:r w:rsidR="003B7ECD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Глазков А.Ю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6BBE" w:rsidRDefault="009D10A8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56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ECD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Ровное</w:t>
      </w:r>
      <w:r w:rsidR="003B7ECD" w:rsidRPr="00C239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Благовещенского района</w:t>
      </w:r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Будин Д.В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7109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6BBE" w:rsidRDefault="001866B2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60</w:t>
      </w:r>
      <w:r w:rsidR="00A56B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Коренева О.П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B484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56BB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62C9A" w:rsidRDefault="00262C9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Семенова И.А.</w:t>
      </w:r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B484B" w:rsidRDefault="003B484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Корелов</w:t>
      </w:r>
      <w:proofErr w:type="spellEnd"/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П.С.</w:t>
      </w:r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13FA" w:rsidRDefault="00A513FA" w:rsidP="00A513FA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Храменко</w:t>
      </w:r>
      <w:proofErr w:type="spellEnd"/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Н.В.</w:t>
      </w:r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761FD" w:rsidRDefault="00E80D49" w:rsidP="001761FD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64.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Гришина Т.В.</w:t>
      </w:r>
      <w:r w:rsidR="003B7EC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B7EC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B7ECD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65.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Сиволонский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В.Б.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0D49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66.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Шилинцева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И.Л.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0D49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67.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Титяев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Н.М.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0D49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68.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Косенко А.П.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0D49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69.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Низинное Белогорского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Гаттарова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О.П.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0D49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70.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Васильевка Белогорского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Анисимова С.В.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0D49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71.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Новое Белогорского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«Ростелеком»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0D49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72.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Междугранка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Гаттарова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О.П.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0D49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73.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Лукьяновка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Нагорная В.М.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0D49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74.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Томичи Белогорского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КФХ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Гурбанов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К.Г.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0D49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75.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Тамбовка Тамбовского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Глушич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К.М.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80D49" w:rsidRDefault="00E80D49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76.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Тамбовский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«Приамурье»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502" w:rsidRDefault="00F00502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77.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Тамбовский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Соловьева М.В.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502" w:rsidRDefault="00F00502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78.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Тамбовский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Сенин Д.С.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502" w:rsidRDefault="00F00502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79.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Толстовка Тамбовского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Ахмедова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Г.А.к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502" w:rsidRDefault="00F00502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80.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Садовое Тамбовского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Михайленко В.С.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502" w:rsidRDefault="00F00502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81.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Садовое Тамбовского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Шамро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И.С.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502" w:rsidRDefault="00F00502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82.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Косицино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Тамбовского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Мирошниченко В.И.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502" w:rsidRDefault="00F00502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83.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Новоалександровка Тамбовского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ИП Колесников Д.В.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502" w:rsidRDefault="00F00502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84.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Чуевка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Тамбовского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Кувшинников М.В.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502" w:rsidRDefault="00F00502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85.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Ивановка Ивановского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Чижов Н.А.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502" w:rsidRDefault="00F00502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86.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Дмитриевка Ивановского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Флуер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О.Н.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00502" w:rsidRDefault="00F00502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87.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Черемхово Ивановского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 w:rsidR="003B3D7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Сакович</w:t>
      </w:r>
      <w:proofErr w:type="spellEnd"/>
      <w:r w:rsidR="003B3D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B3D76" w:rsidRDefault="003B3D76" w:rsidP="00E80D4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88.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Большеозерка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Ивановского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Теленченко Н.П.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B3D76" w:rsidRDefault="003B3D76" w:rsidP="003B3D76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89.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Березовка Ивановского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Белякова Е.М.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D0C19" w:rsidRDefault="004D0C19" w:rsidP="004D0C1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90.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Троицкое Ивановского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Религиозная организация Благовещенская Епархия</w:t>
      </w:r>
      <w:r w:rsidR="00F776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Русской Православной Церкви (Московский Патриархат)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D0C19" w:rsidRDefault="004D0C19" w:rsidP="004D0C1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91.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Константиновка Константиновского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Бурдинская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С.С.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D0C19" w:rsidRDefault="004D0C19" w:rsidP="004D0C1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92.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 Константиновка Константиновского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Елизаров И.А.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D0C19" w:rsidRDefault="004D0C19" w:rsidP="004D0C1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93.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Семидомка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Константиновского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«Ростелеком»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D0C19" w:rsidRDefault="004D0C19" w:rsidP="004D0C1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94.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Восточная Нива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Ромненского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Жигло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D0C19" w:rsidRDefault="004D0C19" w:rsidP="004D0C19">
      <w:pPr>
        <w:widowControl w:val="0"/>
        <w:tabs>
          <w:tab w:val="left" w:pos="72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95. </w:t>
      </w:r>
      <w:r w:rsidR="0043733B" w:rsidRPr="0043733B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43733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0,4 </w:t>
      </w:r>
      <w:proofErr w:type="spellStart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Ромненский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Зайнулин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С.Г.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B7ECD" w:rsidRDefault="003B7ECD" w:rsidP="001761FD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Pr="00C06492" w:rsidRDefault="00FB3B60" w:rsidP="003A59D3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C06492" w:rsidRPr="009A04B4" w:rsidRDefault="00FB3B60" w:rsidP="001761FD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4B2E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FB3B60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Договоры на технологическое присоединение к электрическим сетям АО «Дальневосточная распределительная сетевая компания» (</w:t>
      </w:r>
      <w:r w:rsidR="009A04B4" w:rsidRPr="009A04B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9A04B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риложение № 2</w:t>
      </w:r>
      <w:r w:rsidR="009A04B4" w:rsidRPr="009A04B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Техническому заданию</w:t>
      </w:r>
      <w:r w:rsidRPr="009A04B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083030" w:rsidRPr="00083030" w:rsidRDefault="00083030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84014" w:rsidRDefault="00A84014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№1.</w:t>
      </w:r>
    </w:p>
    <w:p w:rsidR="001866B2" w:rsidRPr="00A84014" w:rsidRDefault="001866B2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Основные характеристики.</w:t>
      </w:r>
    </w:p>
    <w:tbl>
      <w:tblPr>
        <w:tblW w:w="9589" w:type="dxa"/>
        <w:jc w:val="center"/>
        <w:tblInd w:w="-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967"/>
        <w:gridCol w:w="72"/>
        <w:gridCol w:w="4956"/>
        <w:gridCol w:w="51"/>
      </w:tblGrid>
      <w:tr w:rsidR="00FB3B60" w:rsidRPr="00FB3B60" w:rsidTr="00E24253">
        <w:trPr>
          <w:gridAfter w:val="1"/>
          <w:wAfter w:w="51" w:type="dxa"/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B3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B3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FB3B60" w:rsidRPr="00FB3B60" w:rsidTr="00E24253">
        <w:trPr>
          <w:gridAfter w:val="1"/>
          <w:wAfter w:w="51" w:type="dxa"/>
          <w:jc w:val="center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ЛЭП 10 кВ</w:t>
            </w:r>
          </w:p>
        </w:tc>
      </w:tr>
      <w:tr w:rsidR="00FB3B60" w:rsidRPr="00FB3B60" w:rsidTr="00E24253">
        <w:trPr>
          <w:gridAfter w:val="1"/>
          <w:wAfter w:w="51" w:type="dxa"/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ЛЭП, </w:t>
            </w:r>
            <w:proofErr w:type="gramStart"/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5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4D0C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Ориентировочно </w:t>
            </w:r>
            <w:r w:rsidR="004D0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0,795</w:t>
            </w: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FB3B60" w:rsidTr="00E24253">
        <w:trPr>
          <w:gridAfter w:val="1"/>
          <w:wAfter w:w="51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046292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расчете </w:t>
            </w:r>
            <w:proofErr w:type="gramStart"/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опорах. </w:t>
            </w:r>
          </w:p>
        </w:tc>
      </w:tr>
      <w:tr w:rsidR="00FB3B60" w:rsidRPr="00FB3B60" w:rsidTr="00E24253">
        <w:trPr>
          <w:gridAfter w:val="1"/>
          <w:wAfter w:w="51" w:type="dxa"/>
          <w:jc w:val="center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FB3B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ВЛ</w:t>
            </w:r>
            <w:proofErr w:type="gramEnd"/>
            <w:r w:rsidRPr="00FB3B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0,4 кВ</w:t>
            </w:r>
          </w:p>
        </w:tc>
      </w:tr>
      <w:tr w:rsidR="00FB3B60" w:rsidRPr="00FB3B60" w:rsidTr="00E24253">
        <w:trPr>
          <w:gridAfter w:val="1"/>
          <w:wAfter w:w="51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</w:t>
            </w:r>
            <w:proofErr w:type="gramStart"/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км</w:t>
            </w: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4D0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Ориентировочно </w:t>
            </w:r>
            <w:r w:rsidR="004D0C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14,048</w:t>
            </w: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FB3B60" w:rsidTr="00E24253">
        <w:trPr>
          <w:gridAfter w:val="1"/>
          <w:wAfter w:w="51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особенности </w:t>
            </w:r>
            <w:proofErr w:type="gramStart"/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рекомендации по типу опор и </w:t>
            </w: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изоляции </w:t>
            </w: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046292" w:rsidRDefault="00FB3B60" w:rsidP="00176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 расчете </w:t>
            </w:r>
            <w:proofErr w:type="gramStart"/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элементов должны учитываться климатические условия - </w:t>
            </w:r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0A48AC" w:rsidRDefault="00FB3B60" w:rsidP="00176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</w:t>
            </w:r>
            <w:proofErr w:type="gramStart"/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046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опорах.</w:t>
            </w:r>
          </w:p>
        </w:tc>
      </w:tr>
      <w:tr w:rsidR="00FB3B60" w:rsidRPr="00FB3B60" w:rsidTr="00E24253">
        <w:trPr>
          <w:gridAfter w:val="1"/>
          <w:wAfter w:w="51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Передаваемая мощность </w:t>
            </w: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FB3B60" w:rsidTr="00E24253">
        <w:trPr>
          <w:gridAfter w:val="1"/>
          <w:wAfter w:w="51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проектом</w:t>
            </w:r>
          </w:p>
        </w:tc>
      </w:tr>
      <w:tr w:rsidR="00FB3B60" w:rsidRPr="00FB3B60" w:rsidTr="00E24253">
        <w:trPr>
          <w:gridAfter w:val="1"/>
          <w:wAfter w:w="51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5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FB3B60" w:rsidRPr="00FB3B60" w:rsidTr="00E24253">
        <w:trPr>
          <w:gridAfter w:val="1"/>
          <w:wAfter w:w="51" w:type="dxa"/>
          <w:jc w:val="center"/>
        </w:trPr>
        <w:tc>
          <w:tcPr>
            <w:tcW w:w="9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ТП 10/0,4 кВ</w:t>
            </w:r>
          </w:p>
        </w:tc>
      </w:tr>
      <w:tr w:rsidR="00FB3B60" w:rsidRPr="00FB3B60" w:rsidTr="00E24253">
        <w:trPr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ТП 10/0,4 кВ, шт.</w:t>
            </w:r>
          </w:p>
        </w:tc>
        <w:tc>
          <w:tcPr>
            <w:tcW w:w="5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4D0C19" w:rsidP="009B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B3B60" w:rsidRPr="00FB3B60" w:rsidTr="00E24253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ТП 10/0,4 кВ</w:t>
            </w:r>
          </w:p>
        </w:tc>
        <w:tc>
          <w:tcPr>
            <w:tcW w:w="5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проектом</w:t>
            </w:r>
          </w:p>
        </w:tc>
      </w:tr>
      <w:tr w:rsidR="00FB3B60" w:rsidRPr="00FB3B60" w:rsidTr="00E24253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ТП 10/0,4 кВ</w:t>
            </w:r>
          </w:p>
        </w:tc>
        <w:tc>
          <w:tcPr>
            <w:tcW w:w="5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FB3B60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проектом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выполнения проектной и рабочей документации:</w:t>
      </w:r>
    </w:p>
    <w:p w:rsidR="00775FB2" w:rsidRPr="00C06492" w:rsidRDefault="00775FB2" w:rsidP="003A59D3">
      <w:pPr>
        <w:widowControl w:val="0"/>
        <w:shd w:val="clear" w:color="auto" w:fill="FFFFFF"/>
        <w:spacing w:after="0" w:line="240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3A59D3">
      <w:pPr>
        <w:widowControl w:val="0"/>
        <w:shd w:val="clear" w:color="auto" w:fill="FFFFFF"/>
        <w:spacing w:after="0" w:line="240" w:lineRule="auto"/>
        <w:ind w:left="29" w:firstLine="691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30.0</w:t>
      </w:r>
      <w:r w:rsidR="00227C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.2017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Вид строительства и этапы разработки проектной</w:t>
      </w:r>
      <w:r w:rsidR="009B7E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рабочей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документации:</w:t>
      </w:r>
    </w:p>
    <w:p w:rsidR="00DF333C" w:rsidRPr="00DF333C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строительства – ново</w:t>
      </w:r>
      <w:bookmarkStart w:id="0" w:name="_GoBack"/>
      <w:bookmarkEnd w:id="0"/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кВ;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0,4 кВ; строительство ТП 10/0,4 кВ</w:t>
      </w:r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</w:t>
      </w:r>
      <w:r w:rsidR="00A84014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реконструкция ВЛ-10 кВ</w:t>
      </w:r>
      <w:r w:rsidR="00A612DE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, ТП 10/0,4 кВ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.</w:t>
      </w:r>
    </w:p>
    <w:p w:rsidR="00DF333C" w:rsidRPr="00DF333C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3A59D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    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3A59D3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3A59D3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трассы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расстановкой опор;</w:t>
      </w:r>
    </w:p>
    <w:p w:rsidR="006F40A3" w:rsidRPr="00E132B6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.6. Мероприятия по защите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грозовых перенапряжений;</w:t>
      </w:r>
    </w:p>
    <w:p w:rsidR="00E132B6" w:rsidRPr="00E132B6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Схемы заземления элементов опор заземляющих устройств </w:t>
      </w:r>
      <w:proofErr w:type="gramStart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132B6" w:rsidRPr="00E132B6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.9. Краткая пояснительная записка с описанием строительных и электротехнических решений;</w:t>
      </w:r>
    </w:p>
    <w:p w:rsidR="006F40A3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 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Локально-сметные расчёты.</w:t>
      </w:r>
    </w:p>
    <w:p w:rsidR="00153EE3" w:rsidRPr="00E132B6" w:rsidRDefault="00153EE3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3A59D3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проектных работ.</w:t>
      </w:r>
    </w:p>
    <w:p w:rsidR="00153EE3" w:rsidRPr="00BF27D7" w:rsidRDefault="00153EE3" w:rsidP="003A59D3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3A59D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  <w:proofErr w:type="gramEnd"/>
    </w:p>
    <w:p w:rsidR="00153EE3" w:rsidRPr="00C06492" w:rsidRDefault="00153EE3" w:rsidP="003A59D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ГОСТ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21.1101-2009. Основные требования к проектной и рабочей документации.</w:t>
      </w:r>
    </w:p>
    <w:p w:rsidR="00153EE3" w:rsidRPr="00C06492" w:rsidRDefault="00153EE3" w:rsidP="003A59D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3A59D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3A59D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 СО 153-34.20.122-2006;</w:t>
      </w:r>
    </w:p>
    <w:p w:rsidR="00153EE3" w:rsidRPr="00C06492" w:rsidRDefault="00153EE3" w:rsidP="003A59D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Нормы технологического проектирования </w:t>
      </w:r>
      <w:proofErr w:type="gram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кВ.</w:t>
      </w:r>
      <w:proofErr w:type="spellEnd"/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3A59D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3A59D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7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3A59D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Энергетические системы Востока» (введено в действие Приказом АО «ДРСК» № 13 от 21.01.2015 г. «О присоединен</w:t>
      </w:r>
      <w:proofErr w:type="gramStart"/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ии АО</w:t>
      </w:r>
      <w:proofErr w:type="gramEnd"/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3A59D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«Уточнение карт климатического районирования территории Амурской области. Еврейской автономной области,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Алданского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Нерюнгринского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районов республики Саха (Якутия) по ветровому давлению, толщине стенки гололеда, среднегодовой продолжительности гроз», </w:t>
      </w:r>
      <w:proofErr w:type="gram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выполненное</w:t>
      </w:r>
      <w:proofErr w:type="gram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2008 г. ГУ «Главная геофизическая обсерватория им. А.И. </w:t>
      </w:r>
      <w:proofErr w:type="spellStart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Воейкова</w:t>
      </w:r>
      <w:proofErr w:type="spellEnd"/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» Федеральной службы России по гидрометеорологии  и мониторингу окружающей среды;</w:t>
      </w:r>
    </w:p>
    <w:p w:rsidR="00153EE3" w:rsidRPr="00C06492" w:rsidRDefault="00153EE3" w:rsidP="003A59D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3A59D3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Pr="007B5C23" w:rsidRDefault="00A10666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A10666" w:rsidRPr="00882563" w:rsidRDefault="00A10666" w:rsidP="003A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8</w:t>
      </w:r>
      <w:r w:rsidRPr="00882563">
        <w:rPr>
          <w:rFonts w:ascii="Times New Roman" w:hAnsi="Times New Roman" w:cs="Times New Roman"/>
          <w:spacing w:val="-1"/>
          <w:sz w:val="26"/>
          <w:szCs w:val="26"/>
        </w:rPr>
        <w:t xml:space="preserve">.1. </w:t>
      </w:r>
      <w:proofErr w:type="gramStart"/>
      <w:r w:rsidR="00EC4EF8">
        <w:rPr>
          <w:rFonts w:ascii="Times New Roman" w:hAnsi="Times New Roman" w:cs="Times New Roman"/>
          <w:sz w:val="26"/>
          <w:szCs w:val="26"/>
        </w:rPr>
        <w:t>Участник</w:t>
      </w:r>
      <w:r w:rsidRPr="00882563">
        <w:rPr>
          <w:rFonts w:ascii="Times New Roman" w:hAnsi="Times New Roman" w:cs="Times New Roman"/>
          <w:sz w:val="26"/>
          <w:szCs w:val="26"/>
        </w:rPr>
        <w:t xml:space="preserve"> должен </w:t>
      </w:r>
      <w:r w:rsidRPr="00A513FA">
        <w:rPr>
          <w:rFonts w:ascii="Times New Roman" w:hAnsi="Times New Roman" w:cs="Times New Roman"/>
          <w:sz w:val="26"/>
          <w:szCs w:val="26"/>
        </w:rPr>
        <w:t>иметь</w:t>
      </w:r>
      <w:r w:rsidRPr="00882563">
        <w:rPr>
          <w:rFonts w:ascii="Times New Roman" w:hAnsi="Times New Roman" w:cs="Times New Roman"/>
          <w:sz w:val="26"/>
          <w:szCs w:val="26"/>
        </w:rPr>
        <w:t xml:space="preserve"> Свидетельство СРО, оформленное в соответствии с действующим законодательством, о допуске к следующим видам работ (согласно Приказа </w:t>
      </w:r>
      <w:proofErr w:type="spellStart"/>
      <w:r w:rsidRPr="00882563">
        <w:rPr>
          <w:rFonts w:ascii="Times New Roman" w:hAnsi="Times New Roman" w:cs="Times New Roman"/>
          <w:sz w:val="26"/>
          <w:szCs w:val="26"/>
        </w:rPr>
        <w:t>Минрегиона</w:t>
      </w:r>
      <w:proofErr w:type="spellEnd"/>
      <w:r w:rsidRPr="00882563">
        <w:rPr>
          <w:rFonts w:ascii="Times New Roman" w:hAnsi="Times New Roman" w:cs="Times New Roman"/>
          <w:sz w:val="26"/>
          <w:szCs w:val="26"/>
        </w:rPr>
        <w:t xml:space="preserve"> РФ от. 30.12.2009 г. №624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</w:t>
      </w:r>
      <w:r>
        <w:rPr>
          <w:rFonts w:ascii="Times New Roman" w:hAnsi="Times New Roman" w:cs="Times New Roman"/>
          <w:sz w:val="26"/>
          <w:szCs w:val="26"/>
        </w:rPr>
        <w:t>ов капитального строительства»):</w:t>
      </w:r>
      <w:proofErr w:type="gramEnd"/>
    </w:p>
    <w:p w:rsidR="00A10666" w:rsidRPr="00A10666" w:rsidRDefault="00A10666" w:rsidP="003A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</w:pPr>
      <w:r w:rsidRPr="00A10666">
        <w:rPr>
          <w:rFonts w:ascii="Times New Roman" w:hAnsi="Times New Roman" w:cs="Times New Roman"/>
          <w:b/>
          <w:bCs/>
          <w:i/>
          <w:sz w:val="26"/>
          <w:szCs w:val="26"/>
          <w:u w:val="single"/>
          <w:lang w:val="en-US"/>
        </w:rPr>
        <w:t>II</w:t>
      </w:r>
      <w:r w:rsidRPr="00A10666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. Виды работ по подготовке проектной документации:</w:t>
      </w:r>
    </w:p>
    <w:p w:rsidR="009767D4" w:rsidRDefault="009767D4" w:rsidP="003A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F14AA8">
        <w:rPr>
          <w:rFonts w:ascii="Times New Roman" w:hAnsi="Times New Roman" w:cs="Times New Roman"/>
          <w:bCs/>
          <w:i/>
          <w:sz w:val="26"/>
          <w:szCs w:val="26"/>
        </w:rPr>
        <w:t>5</w:t>
      </w:r>
      <w:r w:rsidR="00F14AA8" w:rsidRPr="00F14AA8">
        <w:rPr>
          <w:rFonts w:ascii="Times New Roman" w:hAnsi="Times New Roman" w:cs="Times New Roman"/>
          <w:bCs/>
          <w:i/>
          <w:sz w:val="26"/>
          <w:szCs w:val="26"/>
        </w:rPr>
        <w:t>. Работы по подготовке сведений о наружных сетях инженерно-</w:t>
      </w:r>
      <w:r w:rsidR="00F14AA8">
        <w:rPr>
          <w:rFonts w:ascii="Times New Roman" w:hAnsi="Times New Roman" w:cs="Times New Roman"/>
          <w:bCs/>
          <w:i/>
          <w:sz w:val="26"/>
          <w:szCs w:val="26"/>
        </w:rPr>
        <w:t>технического обеспечения, о перечне инженерно-технических мероприятий.</w:t>
      </w:r>
    </w:p>
    <w:p w:rsidR="00A10666" w:rsidRDefault="00A10666" w:rsidP="003A59D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6"/>
          <w:szCs w:val="26"/>
        </w:rPr>
      </w:pPr>
      <w:r w:rsidRPr="00882563">
        <w:rPr>
          <w:rFonts w:ascii="Times New Roman" w:hAnsi="Times New Roman" w:cs="Times New Roman"/>
          <w:bCs/>
          <w:i/>
          <w:sz w:val="26"/>
          <w:szCs w:val="26"/>
        </w:rPr>
        <w:t>5.3. Работы по подготовке проектов наружных сетей электроснабжения до 35 кВ включительно и их сооружений.</w:t>
      </w:r>
    </w:p>
    <w:p w:rsidR="00EC4EF8" w:rsidRPr="00EC4EF8" w:rsidRDefault="00EC4EF8" w:rsidP="00EC4EF8">
      <w:pPr>
        <w:pStyle w:val="aff9"/>
        <w:numPr>
          <w:ilvl w:val="0"/>
          <w:numId w:val="35"/>
        </w:numPr>
        <w:rPr>
          <w:rFonts w:ascii="Times New Roman" w:hAnsi="Times New Roman"/>
          <w:bCs/>
          <w:i/>
          <w:sz w:val="26"/>
          <w:szCs w:val="26"/>
        </w:rPr>
      </w:pPr>
      <w:r w:rsidRPr="00EC4EF8">
        <w:rPr>
          <w:rFonts w:ascii="Times New Roman" w:hAnsi="Times New Roman"/>
          <w:bCs/>
          <w:i/>
          <w:sz w:val="26"/>
          <w:szCs w:val="26"/>
        </w:rPr>
        <w:t>Необходимо предоставить копию СРО;</w:t>
      </w:r>
    </w:p>
    <w:p w:rsidR="00C06492" w:rsidRPr="001C608C" w:rsidRDefault="00A10666" w:rsidP="003337DC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расчетов.</w:t>
      </w:r>
    </w:p>
    <w:p w:rsidR="001C608C" w:rsidRPr="001C608C" w:rsidRDefault="001C608C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1C608C" w:rsidRPr="001C608C" w:rsidRDefault="001C608C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«Порядок определения стоимости проектных работ»; </w:t>
      </w:r>
    </w:p>
    <w:p w:rsidR="001C608C" w:rsidRPr="001C608C" w:rsidRDefault="001C608C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0288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C608C" w:rsidRPr="001C608C" w:rsidRDefault="001C608C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«Порядок определения стоимости строительно-монтажных работ». </w:t>
      </w:r>
    </w:p>
    <w:p w:rsidR="001C608C" w:rsidRPr="001C608C" w:rsidRDefault="001C608C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</w:t>
      </w:r>
      <w:r w:rsidR="00EC4EF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C4EF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выполнить в двух уровнях цен с применением базисно-индексного метода:</w:t>
      </w:r>
    </w:p>
    <w:p w:rsidR="001C608C" w:rsidRPr="001C608C" w:rsidRDefault="001C608C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1C608C" w:rsidRPr="001C608C" w:rsidRDefault="001C608C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1C608C" w:rsidRPr="001C608C" w:rsidRDefault="001C608C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2.3.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C608C" w:rsidRPr="001C608C" w:rsidRDefault="001C608C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C608C" w:rsidRPr="001C608C" w:rsidRDefault="001C608C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7B5C23" w:rsidRDefault="001C608C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1C608C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в формате программы  «WIN RIK»  или «Гранд СМЕТА», позволяющем вести накопительные ведомости по локальным сметам.</w:t>
      </w:r>
    </w:p>
    <w:p w:rsidR="00C02887" w:rsidRPr="00C02887" w:rsidRDefault="00C02887" w:rsidP="003A59D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>9.6. Сметные расчеты выполнить с учетом требований «Протокола согласования нормативов для расчетов сметной документации» (Приложение № 1 к Техническому заданию).</w:t>
      </w:r>
      <w:r w:rsidRPr="00C02887">
        <w:rPr>
          <w:rFonts w:ascii="Times New Roman" w:eastAsia="Times New Roman" w:hAnsi="Times New Roman" w:cs="Times New Roman"/>
          <w:sz w:val="26"/>
          <w:szCs w:val="20"/>
          <w:lang w:eastAsia="ru-RU"/>
        </w:rPr>
        <w:tab/>
      </w:r>
    </w:p>
    <w:p w:rsidR="001C608C" w:rsidRDefault="001C608C" w:rsidP="003A59D3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1930FB" w:rsidRPr="001930FB" w:rsidRDefault="00A10666" w:rsidP="003A59D3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3A59D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3337DC">
      <w:pPr>
        <w:widowControl w:val="0"/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3A59D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</w:t>
      </w:r>
    </w:p>
    <w:p w:rsidR="00A4462D" w:rsidRDefault="00A4462D" w:rsidP="003A59D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Таблица №2.</w:t>
      </w:r>
    </w:p>
    <w:p w:rsidR="001866B2" w:rsidRPr="00C06492" w:rsidRDefault="001866B2" w:rsidP="003A59D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Форматы предоставления документации</w:t>
      </w:r>
    </w:p>
    <w:tbl>
      <w:tblPr>
        <w:tblpPr w:leftFromText="180" w:rightFromText="180" w:vertAnchor="text" w:horzAnchor="margin" w:tblpY="176"/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5812"/>
        <w:gridCol w:w="1275"/>
      </w:tblGrid>
      <w:tr w:rsidR="005171B0" w:rsidRPr="005171B0" w:rsidTr="00F437A1">
        <w:trPr>
          <w:trHeight w:val="233"/>
        </w:trPr>
        <w:tc>
          <w:tcPr>
            <w:tcW w:w="2255" w:type="dxa"/>
          </w:tcPr>
          <w:p w:rsidR="005171B0" w:rsidRPr="005171B0" w:rsidRDefault="005171B0" w:rsidP="003A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812" w:type="dxa"/>
          </w:tcPr>
          <w:p w:rsidR="005171B0" w:rsidRPr="005171B0" w:rsidRDefault="005171B0" w:rsidP="003A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3A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F437A1">
        <w:tc>
          <w:tcPr>
            <w:tcW w:w="2255" w:type="dxa"/>
          </w:tcPr>
          <w:p w:rsidR="005171B0" w:rsidRPr="005171B0" w:rsidRDefault="005171B0" w:rsidP="003337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812" w:type="dxa"/>
          </w:tcPr>
          <w:p w:rsidR="005171B0" w:rsidRPr="004A1C2F" w:rsidRDefault="005171B0" w:rsidP="003337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171B0" w:rsidRPr="004A1C2F" w:rsidRDefault="005171B0" w:rsidP="003337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4A1C2F" w:rsidRDefault="005171B0" w:rsidP="003337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171B0" w:rsidRPr="005171B0" w:rsidRDefault="001866B2" w:rsidP="003337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F437A1">
        <w:tc>
          <w:tcPr>
            <w:tcW w:w="2255" w:type="dxa"/>
          </w:tcPr>
          <w:p w:rsidR="005171B0" w:rsidRPr="005171B0" w:rsidRDefault="005171B0" w:rsidP="003337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812" w:type="dxa"/>
          </w:tcPr>
          <w:p w:rsidR="005171B0" w:rsidRPr="004A1C2F" w:rsidRDefault="005171B0" w:rsidP="003337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3337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5171B0" w:rsidRPr="005171B0" w:rsidTr="00F437A1">
        <w:tc>
          <w:tcPr>
            <w:tcW w:w="2255" w:type="dxa"/>
          </w:tcPr>
          <w:p w:rsidR="005171B0" w:rsidRPr="005171B0" w:rsidRDefault="005171B0" w:rsidP="003337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812" w:type="dxa"/>
          </w:tcPr>
          <w:p w:rsidR="005171B0" w:rsidRPr="004A1C2F" w:rsidRDefault="005171B0" w:rsidP="003337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  <w:tc>
          <w:tcPr>
            <w:tcW w:w="1275" w:type="dxa"/>
          </w:tcPr>
          <w:p w:rsidR="005171B0" w:rsidRPr="004A1C2F" w:rsidRDefault="005171B0" w:rsidP="003337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  <w:proofErr w:type="spellEnd"/>
          </w:p>
        </w:tc>
      </w:tr>
      <w:tr w:rsidR="005171B0" w:rsidRPr="005171B0" w:rsidTr="00F437A1">
        <w:tc>
          <w:tcPr>
            <w:tcW w:w="2255" w:type="dxa"/>
          </w:tcPr>
          <w:p w:rsidR="005171B0" w:rsidRPr="004A1C2F" w:rsidRDefault="005171B0" w:rsidP="003A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812" w:type="dxa"/>
          </w:tcPr>
          <w:p w:rsidR="005171B0" w:rsidRPr="005171B0" w:rsidRDefault="005171B0" w:rsidP="003A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</w:p>
        </w:tc>
        <w:tc>
          <w:tcPr>
            <w:tcW w:w="1275" w:type="dxa"/>
          </w:tcPr>
          <w:p w:rsidR="005171B0" w:rsidRPr="004A1C2F" w:rsidRDefault="001866B2" w:rsidP="003A5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1866B2" w:rsidRDefault="001866B2" w:rsidP="003A59D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3A59D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ГКУ  «</w:t>
      </w:r>
      <w:proofErr w:type="spellStart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Амурупрадор</w:t>
      </w:r>
      <w:proofErr w:type="spellEnd"/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»; с ОАО «РЖД».</w:t>
      </w:r>
    </w:p>
    <w:p w:rsidR="00C06492" w:rsidRPr="00C06492" w:rsidRDefault="00A10666" w:rsidP="003A59D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Разработанная проектно-сметная документация является собственностью </w:t>
      </w:r>
      <w:proofErr w:type="gramStart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</w:t>
      </w:r>
      <w:proofErr w:type="gramEnd"/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передача её третьим лицам без его согласия запрещается.</w:t>
      </w:r>
    </w:p>
    <w:p w:rsidR="00C06492" w:rsidRPr="00C06492" w:rsidRDefault="00A10666" w:rsidP="003A59D3">
      <w:pPr>
        <w:widowControl w:val="0"/>
        <w:tabs>
          <w:tab w:val="left" w:pos="13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3A59D3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590B" w:rsidRPr="00F5590B" w:rsidRDefault="00F5590B" w:rsidP="003A59D3">
      <w:pPr>
        <w:widowControl w:val="0"/>
        <w:shd w:val="clear" w:color="auto" w:fill="FFFFFF"/>
        <w:tabs>
          <w:tab w:val="left" w:pos="989"/>
          <w:tab w:val="left" w:pos="2513"/>
        </w:tabs>
        <w:spacing w:after="0" w:line="240" w:lineRule="auto"/>
        <w:ind w:left="1701" w:hanging="170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F5590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Приложение: 1. «Протокол согласования нормативов для расчетов сметной документации».</w:t>
      </w:r>
    </w:p>
    <w:p w:rsidR="00F364E1" w:rsidRPr="00C06492" w:rsidRDefault="00F364E1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6A5C" w:rsidRDefault="00336A5C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4E032C" w:rsidRPr="001866B2" w:rsidRDefault="00C57238" w:rsidP="005E4601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ачальник</w:t>
      </w:r>
      <w:r w:rsidR="005E4601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 </w:t>
      </w:r>
      <w:proofErr w:type="spellStart"/>
      <w:r w:rsidR="005171B0" w:rsidRPr="001866B2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ОКСиИ</w:t>
      </w:r>
      <w:proofErr w:type="spellEnd"/>
      <w:r w:rsidR="005171B0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                                 </w:t>
      </w:r>
      <w:r w:rsidR="00CA41E1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</w:t>
      </w:r>
      <w:r w:rsid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И.Н. Соловьева</w:t>
      </w:r>
    </w:p>
    <w:p w:rsidR="005171B0" w:rsidRPr="001866B2" w:rsidRDefault="005171B0" w:rsidP="003337D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</w:p>
    <w:p w:rsidR="005171B0" w:rsidRPr="005171B0" w:rsidRDefault="006B1965" w:rsidP="003337DC">
      <w:pPr>
        <w:widowControl w:val="0"/>
        <w:shd w:val="clear" w:color="auto" w:fill="FFFFFF"/>
        <w:tabs>
          <w:tab w:val="left" w:pos="737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ачальник СПРиТП                                                                    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      </w:t>
      </w:r>
      <w:r w:rsidR="00C57238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</w:t>
      </w:r>
      <w:r w:rsidR="00097086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С.Л. Попов</w:t>
      </w:r>
    </w:p>
    <w:p w:rsidR="005171B0" w:rsidRPr="005171B0" w:rsidRDefault="005171B0" w:rsidP="003337DC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171B0" w:rsidRPr="005171B0" w:rsidRDefault="0072439F" w:rsidP="003337DC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ГРП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</w:t>
      </w:r>
      <w:r w:rsidR="004E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  <w:t>Т.Г. Соловьева</w:t>
      </w:r>
    </w:p>
    <w:p w:rsidR="005171B0" w:rsidRPr="005171B0" w:rsidRDefault="005171B0" w:rsidP="003337DC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</w:p>
    <w:p w:rsidR="00C06492" w:rsidRDefault="00CA41E1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Д</w:t>
      </w:r>
      <w:r w:rsidR="00F339D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иректор</w:t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  <w:t xml:space="preserve">          </w:t>
      </w:r>
      <w:r w:rsid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</w:t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</w:t>
      </w:r>
      <w:r w:rsidR="004E032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В.А. Гаврилов</w:t>
      </w:r>
    </w:p>
    <w:p w:rsidR="00F105BB" w:rsidRDefault="00F105BB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7DC" w:rsidRDefault="003337DC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37DC" w:rsidRDefault="003337DC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0C19" w:rsidRDefault="004D0C19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5537" w:rsidRDefault="00215537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5537" w:rsidRDefault="00215537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5537" w:rsidRDefault="00215537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5537" w:rsidRDefault="00215537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0C19" w:rsidRDefault="004D0C19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0C19" w:rsidRDefault="004D0C19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C0649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  <w:r w:rsidR="000B23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B23DA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к ТЗ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828"/>
        <w:gridCol w:w="2873"/>
        <w:gridCol w:w="5953"/>
      </w:tblGrid>
      <w:tr w:rsidR="004E032C" w:rsidRPr="004E032C" w:rsidTr="004E032C">
        <w:trPr>
          <w:trHeight w:val="315"/>
        </w:trPr>
        <w:tc>
          <w:tcPr>
            <w:tcW w:w="9654" w:type="dxa"/>
            <w:gridSpan w:val="3"/>
            <w:noWrap/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ПРОТОКОЛ </w:t>
            </w:r>
          </w:p>
        </w:tc>
      </w:tr>
      <w:tr w:rsidR="004E032C" w:rsidRPr="004E032C" w:rsidTr="004E032C">
        <w:trPr>
          <w:trHeight w:val="405"/>
        </w:trPr>
        <w:tc>
          <w:tcPr>
            <w:tcW w:w="9654" w:type="dxa"/>
            <w:gridSpan w:val="3"/>
            <w:noWrap/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согласования нормативов для расчетов сметной документации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noWrap/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глав, работ и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4E032C" w:rsidRPr="004E032C" w:rsidTr="004E032C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Локальные сметные расчеты выполняются в базисном уровне цен (редакция 2014г.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ТССЦпг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ТСЭМ,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ТЕРп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ТССЦ. Исключением являются: ЭС ЕАО и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Южно-Якутские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ЭС, расчет смет производится по ФЕР (федеральным единичным расценкам).</w:t>
            </w:r>
          </w:p>
        </w:tc>
      </w:tr>
      <w:tr w:rsidR="004E032C" w:rsidRPr="004E032C" w:rsidTr="004E032C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4E032C" w:rsidRPr="004E032C" w:rsidTr="004E032C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ФАСиЖКХ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18.11.2004 №АП-5536/06, письмом Госстроя от 27.11.2012 № 2536-ИП/12/ГС</w:t>
            </w:r>
          </w:p>
        </w:tc>
      </w:tr>
      <w:tr w:rsidR="004E032C" w:rsidRPr="004E032C" w:rsidTr="004E032C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Определяется по ТССЦ соответствующего региона и ФССЦ.  Перевозка материалов, конструкций и 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приобъектный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4E032C" w:rsidRPr="004E032C" w:rsidTr="004E032C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материалов. При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калькулировании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4E032C" w:rsidRPr="004E032C" w:rsidTr="004E032C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приобъектного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калькулирования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2.1.1.1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договорных цен, установленных организациями-исполнителями и включаются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графы 7, 8. </w:t>
            </w:r>
          </w:p>
        </w:tc>
      </w:tr>
      <w:tr w:rsidR="004E032C" w:rsidRPr="004E032C" w:rsidTr="004E032C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2.1.1.2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4E032C" w:rsidRPr="004E032C" w:rsidTr="004E032C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2.1.1.3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 8).</w:t>
            </w:r>
          </w:p>
        </w:tc>
      </w:tr>
      <w:tr w:rsidR="004E032C" w:rsidRPr="004E032C" w:rsidTr="004E032C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2.1.1.4</w:t>
            </w:r>
          </w:p>
        </w:tc>
        <w:tc>
          <w:tcPr>
            <w:tcW w:w="28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на основании расчетов и цен на эти услуги (графы 7 и 8).</w:t>
            </w:r>
          </w:p>
        </w:tc>
      </w:tr>
      <w:tr w:rsidR="004E032C" w:rsidRPr="004E032C" w:rsidTr="004E032C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2.1.2.1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собственноственников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8)</w:t>
            </w:r>
          </w:p>
        </w:tc>
      </w:tr>
      <w:tr w:rsidR="004E032C" w:rsidRPr="004E032C" w:rsidTr="004E032C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4E032C" w:rsidRPr="004E032C" w:rsidTr="004E032C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4E032C" w:rsidRPr="004E032C" w:rsidTr="004E032C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локальным сметным расчетом на основе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4E032C" w:rsidRPr="004E032C" w:rsidTr="004E032C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расчетами на основе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обосновывающих данных транспортных предприятий (графы 7 и 8).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4E032C" w:rsidRPr="004E032C" w:rsidTr="004E032C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Определяются расчетами на основе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4E032C" w:rsidRPr="004E032C" w:rsidTr="004E032C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4E032C" w:rsidRPr="004E032C" w:rsidTr="004E032C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4E032C" w:rsidRPr="004E032C" w:rsidTr="004E032C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приложения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4E032C" w:rsidRPr="004E032C" w:rsidTr="004E032C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</w:tr>
      <w:tr w:rsidR="004E032C" w:rsidRPr="004E032C" w:rsidTr="004E032C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Локальные сметные расчеты составляются на основании </w:t>
            </w:r>
          </w:p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Росстроя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05.09.2007 №СК-3253/02. (графы 7 и 8)</w:t>
            </w:r>
          </w:p>
        </w:tc>
      </w:tr>
      <w:tr w:rsidR="004E032C" w:rsidRPr="004E032C" w:rsidTr="004E032C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рафы 4 и 8)</w:t>
            </w:r>
          </w:p>
        </w:tc>
      </w:tr>
      <w:tr w:rsidR="004E032C" w:rsidRPr="004E032C" w:rsidTr="004E032C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больше 1,2% от стоимости строительства объекта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3.2.19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21.06.2010 №468 (графы 7 и 8)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12. Публичный технологический и ценовой аудит, проектные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Проектно-изыскательские работы - 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расчета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23.06.09 № 19281-ИП/08 (графы 7 и 8)</w:t>
            </w:r>
          </w:p>
        </w:tc>
      </w:tr>
      <w:tr w:rsidR="004E032C" w:rsidRPr="004E032C" w:rsidTr="004E032C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18.06.09 № 18712 - ИМ/08. (графы 7 и 8)</w:t>
            </w:r>
          </w:p>
        </w:tc>
      </w:tr>
      <w:tr w:rsidR="004E032C" w:rsidRPr="004E032C" w:rsidTr="004E032C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РФ от 25.02.2009г. №4882-СМ/08. (графы 7 и 8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3% (п.4.96 МДС 81-35.2004)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основании Федерального закона РФ от 07.07.2003г №117-ФЗ</w:t>
            </w:r>
            <w:proofErr w:type="gramStart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графы 4-8)</w:t>
            </w:r>
          </w:p>
        </w:tc>
      </w:tr>
      <w:tr w:rsidR="004E032C" w:rsidRPr="004E032C" w:rsidTr="004E032C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32C" w:rsidRPr="004E032C" w:rsidTr="004E032C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4E032C" w:rsidRPr="004E032C" w:rsidTr="004E032C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4E032C" w:rsidRPr="004E032C" w:rsidTr="004E032C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032C" w:rsidRPr="004E032C" w:rsidRDefault="004E032C" w:rsidP="004E032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C06492" w:rsidRPr="00C06492" w:rsidRDefault="00C06492" w:rsidP="00C0649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C06492" w:rsidP="00C06492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2673" w:rsidRDefault="00B92673"/>
    <w:sectPr w:rsidR="00B92673" w:rsidSect="003B7EC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3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4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3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7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2"/>
  </w:num>
  <w:num w:numId="10">
    <w:abstractNumId w:val="29"/>
  </w:num>
  <w:num w:numId="11">
    <w:abstractNumId w:val="4"/>
  </w:num>
  <w:num w:numId="12">
    <w:abstractNumId w:val="25"/>
  </w:num>
  <w:num w:numId="13">
    <w:abstractNumId w:val="23"/>
  </w:num>
  <w:num w:numId="14">
    <w:abstractNumId w:val="28"/>
  </w:num>
  <w:num w:numId="15">
    <w:abstractNumId w:val="22"/>
  </w:num>
  <w:num w:numId="16">
    <w:abstractNumId w:val="12"/>
  </w:num>
  <w:num w:numId="17">
    <w:abstractNumId w:val="19"/>
  </w:num>
  <w:num w:numId="18">
    <w:abstractNumId w:val="15"/>
  </w:num>
  <w:num w:numId="19">
    <w:abstractNumId w:val="9"/>
  </w:num>
  <w:num w:numId="20">
    <w:abstractNumId w:val="33"/>
  </w:num>
  <w:num w:numId="21">
    <w:abstractNumId w:val="8"/>
  </w:num>
  <w:num w:numId="22">
    <w:abstractNumId w:val="16"/>
  </w:num>
  <w:num w:numId="23">
    <w:abstractNumId w:val="3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"/>
  </w:num>
  <w:num w:numId="31">
    <w:abstractNumId w:val="13"/>
  </w:num>
  <w:num w:numId="32">
    <w:abstractNumId w:val="21"/>
  </w:num>
  <w:num w:numId="33">
    <w:abstractNumId w:val="7"/>
  </w:num>
  <w:num w:numId="34">
    <w:abstractNumId w:val="30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92"/>
    <w:rsid w:val="000441DA"/>
    <w:rsid w:val="00046292"/>
    <w:rsid w:val="000579D2"/>
    <w:rsid w:val="00083030"/>
    <w:rsid w:val="00090110"/>
    <w:rsid w:val="000907E3"/>
    <w:rsid w:val="00097086"/>
    <w:rsid w:val="000A48AC"/>
    <w:rsid w:val="000A5F8D"/>
    <w:rsid w:val="000A7E3C"/>
    <w:rsid w:val="000B23DA"/>
    <w:rsid w:val="000C1549"/>
    <w:rsid w:val="000D0745"/>
    <w:rsid w:val="000E472A"/>
    <w:rsid w:val="000E472C"/>
    <w:rsid w:val="00145CD2"/>
    <w:rsid w:val="00153EE3"/>
    <w:rsid w:val="00154E7C"/>
    <w:rsid w:val="0015516F"/>
    <w:rsid w:val="00163D9D"/>
    <w:rsid w:val="001761FD"/>
    <w:rsid w:val="001866B2"/>
    <w:rsid w:val="00190A78"/>
    <w:rsid w:val="0019295D"/>
    <w:rsid w:val="001930FB"/>
    <w:rsid w:val="001A1F9F"/>
    <w:rsid w:val="001A4D25"/>
    <w:rsid w:val="001B4FF3"/>
    <w:rsid w:val="001C608C"/>
    <w:rsid w:val="001D47F9"/>
    <w:rsid w:val="00213E5D"/>
    <w:rsid w:val="00215537"/>
    <w:rsid w:val="00224440"/>
    <w:rsid w:val="0022466A"/>
    <w:rsid w:val="00227CAC"/>
    <w:rsid w:val="00237DC8"/>
    <w:rsid w:val="0025463B"/>
    <w:rsid w:val="00262ABF"/>
    <w:rsid w:val="00262C9A"/>
    <w:rsid w:val="002718A4"/>
    <w:rsid w:val="00273BAD"/>
    <w:rsid w:val="00274AB6"/>
    <w:rsid w:val="0028528E"/>
    <w:rsid w:val="002B0135"/>
    <w:rsid w:val="002B2A1D"/>
    <w:rsid w:val="002B3579"/>
    <w:rsid w:val="002D2483"/>
    <w:rsid w:val="002D2F70"/>
    <w:rsid w:val="002D345E"/>
    <w:rsid w:val="002F2640"/>
    <w:rsid w:val="00304C80"/>
    <w:rsid w:val="00305CB1"/>
    <w:rsid w:val="003337DC"/>
    <w:rsid w:val="00335F3D"/>
    <w:rsid w:val="00336A5C"/>
    <w:rsid w:val="003960DD"/>
    <w:rsid w:val="003A59D3"/>
    <w:rsid w:val="003A646C"/>
    <w:rsid w:val="003B3B08"/>
    <w:rsid w:val="003B3D76"/>
    <w:rsid w:val="003B484B"/>
    <w:rsid w:val="003B7ECD"/>
    <w:rsid w:val="003C3189"/>
    <w:rsid w:val="003D4008"/>
    <w:rsid w:val="003F2A94"/>
    <w:rsid w:val="0042144E"/>
    <w:rsid w:val="0043733B"/>
    <w:rsid w:val="0048466B"/>
    <w:rsid w:val="0049190C"/>
    <w:rsid w:val="004A1C2F"/>
    <w:rsid w:val="004B2EA5"/>
    <w:rsid w:val="004B4705"/>
    <w:rsid w:val="004C7547"/>
    <w:rsid w:val="004D0C19"/>
    <w:rsid w:val="004D5DB5"/>
    <w:rsid w:val="004E032C"/>
    <w:rsid w:val="004E3FAB"/>
    <w:rsid w:val="004E65B6"/>
    <w:rsid w:val="004F7FFB"/>
    <w:rsid w:val="005171B0"/>
    <w:rsid w:val="00525632"/>
    <w:rsid w:val="00567184"/>
    <w:rsid w:val="00597A47"/>
    <w:rsid w:val="005A736A"/>
    <w:rsid w:val="005C727B"/>
    <w:rsid w:val="005D1E54"/>
    <w:rsid w:val="005E4601"/>
    <w:rsid w:val="005F3EAA"/>
    <w:rsid w:val="005F4BC1"/>
    <w:rsid w:val="00676876"/>
    <w:rsid w:val="006824D2"/>
    <w:rsid w:val="006A1806"/>
    <w:rsid w:val="006B1965"/>
    <w:rsid w:val="006C0B60"/>
    <w:rsid w:val="006D09A6"/>
    <w:rsid w:val="006F40A3"/>
    <w:rsid w:val="00702551"/>
    <w:rsid w:val="00717164"/>
    <w:rsid w:val="0072439F"/>
    <w:rsid w:val="00735868"/>
    <w:rsid w:val="007537AE"/>
    <w:rsid w:val="00757BE9"/>
    <w:rsid w:val="00775FB2"/>
    <w:rsid w:val="007804D2"/>
    <w:rsid w:val="00790471"/>
    <w:rsid w:val="007A4A53"/>
    <w:rsid w:val="007A4F81"/>
    <w:rsid w:val="007B1B0B"/>
    <w:rsid w:val="007B5C23"/>
    <w:rsid w:val="0080029C"/>
    <w:rsid w:val="00824743"/>
    <w:rsid w:val="008653FD"/>
    <w:rsid w:val="00881371"/>
    <w:rsid w:val="00882563"/>
    <w:rsid w:val="008B4199"/>
    <w:rsid w:val="008E690F"/>
    <w:rsid w:val="008E704E"/>
    <w:rsid w:val="009153C9"/>
    <w:rsid w:val="009341F9"/>
    <w:rsid w:val="00951321"/>
    <w:rsid w:val="009609E7"/>
    <w:rsid w:val="0097347D"/>
    <w:rsid w:val="009767D4"/>
    <w:rsid w:val="00982E08"/>
    <w:rsid w:val="00983378"/>
    <w:rsid w:val="009A04B4"/>
    <w:rsid w:val="009B66E2"/>
    <w:rsid w:val="009B7EA6"/>
    <w:rsid w:val="009C0877"/>
    <w:rsid w:val="009D10A8"/>
    <w:rsid w:val="00A041A7"/>
    <w:rsid w:val="00A05596"/>
    <w:rsid w:val="00A10666"/>
    <w:rsid w:val="00A26246"/>
    <w:rsid w:val="00A36145"/>
    <w:rsid w:val="00A4462D"/>
    <w:rsid w:val="00A513FA"/>
    <w:rsid w:val="00A56BBE"/>
    <w:rsid w:val="00A612DE"/>
    <w:rsid w:val="00A630B4"/>
    <w:rsid w:val="00A7109A"/>
    <w:rsid w:val="00A84014"/>
    <w:rsid w:val="00AD3A8D"/>
    <w:rsid w:val="00AD4C79"/>
    <w:rsid w:val="00AD6D2C"/>
    <w:rsid w:val="00AF3F2F"/>
    <w:rsid w:val="00B26C09"/>
    <w:rsid w:val="00B33C5B"/>
    <w:rsid w:val="00B34571"/>
    <w:rsid w:val="00B43492"/>
    <w:rsid w:val="00B90DDC"/>
    <w:rsid w:val="00B92673"/>
    <w:rsid w:val="00B93060"/>
    <w:rsid w:val="00BA3A81"/>
    <w:rsid w:val="00BB42E1"/>
    <w:rsid w:val="00BD00CB"/>
    <w:rsid w:val="00BD68AD"/>
    <w:rsid w:val="00BE5FDB"/>
    <w:rsid w:val="00BF27D7"/>
    <w:rsid w:val="00C02887"/>
    <w:rsid w:val="00C06492"/>
    <w:rsid w:val="00C161BB"/>
    <w:rsid w:val="00C2396B"/>
    <w:rsid w:val="00C57238"/>
    <w:rsid w:val="00C671C3"/>
    <w:rsid w:val="00C72337"/>
    <w:rsid w:val="00CA41E1"/>
    <w:rsid w:val="00CE33D7"/>
    <w:rsid w:val="00CF7F3B"/>
    <w:rsid w:val="00D10080"/>
    <w:rsid w:val="00D33E56"/>
    <w:rsid w:val="00D40CF4"/>
    <w:rsid w:val="00D54CD2"/>
    <w:rsid w:val="00D73EA5"/>
    <w:rsid w:val="00D83A31"/>
    <w:rsid w:val="00D8476C"/>
    <w:rsid w:val="00D912AE"/>
    <w:rsid w:val="00D9577E"/>
    <w:rsid w:val="00DB6670"/>
    <w:rsid w:val="00DD2554"/>
    <w:rsid w:val="00DF0EED"/>
    <w:rsid w:val="00DF333C"/>
    <w:rsid w:val="00DF6B3F"/>
    <w:rsid w:val="00E013C9"/>
    <w:rsid w:val="00E132B6"/>
    <w:rsid w:val="00E13BE9"/>
    <w:rsid w:val="00E24253"/>
    <w:rsid w:val="00E42A26"/>
    <w:rsid w:val="00E65B3E"/>
    <w:rsid w:val="00E759BC"/>
    <w:rsid w:val="00E80D49"/>
    <w:rsid w:val="00E8108C"/>
    <w:rsid w:val="00E94783"/>
    <w:rsid w:val="00E9540A"/>
    <w:rsid w:val="00E958D0"/>
    <w:rsid w:val="00EA665E"/>
    <w:rsid w:val="00EB6ADA"/>
    <w:rsid w:val="00EC4EF8"/>
    <w:rsid w:val="00ED609E"/>
    <w:rsid w:val="00F00502"/>
    <w:rsid w:val="00F00F3C"/>
    <w:rsid w:val="00F105BB"/>
    <w:rsid w:val="00F14AA8"/>
    <w:rsid w:val="00F15BC9"/>
    <w:rsid w:val="00F339DF"/>
    <w:rsid w:val="00F364E1"/>
    <w:rsid w:val="00F437A1"/>
    <w:rsid w:val="00F54031"/>
    <w:rsid w:val="00F5590B"/>
    <w:rsid w:val="00F6163E"/>
    <w:rsid w:val="00F77678"/>
    <w:rsid w:val="00FB3B60"/>
    <w:rsid w:val="00FB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rsk.ru/norm/6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C2495-77F8-4F14-8248-06AD97D22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12</Pages>
  <Words>4426</Words>
  <Characters>25231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Шурыгин Алексей Сергеевич</cp:lastModifiedBy>
  <cp:revision>36</cp:revision>
  <cp:lastPrinted>2017-06-09T00:28:00Z</cp:lastPrinted>
  <dcterms:created xsi:type="dcterms:W3CDTF">2016-07-07T06:29:00Z</dcterms:created>
  <dcterms:modified xsi:type="dcterms:W3CDTF">2017-06-09T00:28:00Z</dcterms:modified>
</cp:coreProperties>
</file>