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55740A" w:rsidRPr="00BE2A30">
        <w:rPr>
          <w:b/>
          <w:i/>
          <w:color w:val="000000" w:themeColor="text1"/>
        </w:rPr>
        <w:t xml:space="preserve"> </w:t>
      </w:r>
      <w:r w:rsidR="00BE2A30" w:rsidRPr="00937531">
        <w:rPr>
          <w:b/>
          <w:i/>
          <w:color w:val="000000" w:themeColor="text1"/>
        </w:rPr>
        <w:t>«</w:t>
      </w:r>
      <w:r w:rsidR="005B79AF" w:rsidRPr="005B79AF">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Восточное;</w:t>
      </w:r>
      <w:proofErr w:type="gramEnd"/>
      <w:r w:rsidR="005B79AF" w:rsidRPr="005B79AF">
        <w:rPr>
          <w:b/>
          <w:i/>
          <w:sz w:val="26"/>
          <w:szCs w:val="26"/>
        </w:rPr>
        <w:t xml:space="preserve"> с. Малиновка;  с. Виноградовка; п. Переяславка; с. Корсаково-2; с. Ракитное; </w:t>
      </w:r>
      <w:proofErr w:type="spellStart"/>
      <w:proofErr w:type="gramStart"/>
      <w:r w:rsidR="005B79AF" w:rsidRPr="005B79AF">
        <w:rPr>
          <w:b/>
          <w:i/>
          <w:sz w:val="26"/>
          <w:szCs w:val="26"/>
        </w:rPr>
        <w:t>ст</w:t>
      </w:r>
      <w:proofErr w:type="spellEnd"/>
      <w:proofErr w:type="gramEnd"/>
      <w:r w:rsidR="005B79AF" w:rsidRPr="005B79AF">
        <w:rPr>
          <w:b/>
          <w:i/>
          <w:sz w:val="26"/>
          <w:szCs w:val="26"/>
        </w:rPr>
        <w:t xml:space="preserve"> Связист», </w:t>
      </w:r>
      <w:proofErr w:type="spellStart"/>
      <w:r w:rsidR="005B79AF" w:rsidRPr="005B79AF">
        <w:rPr>
          <w:b/>
          <w:i/>
          <w:sz w:val="26"/>
          <w:szCs w:val="26"/>
        </w:rPr>
        <w:t>ст</w:t>
      </w:r>
      <w:proofErr w:type="spellEnd"/>
      <w:r w:rsidR="005B79AF" w:rsidRPr="005B79AF">
        <w:rPr>
          <w:b/>
          <w:i/>
          <w:sz w:val="26"/>
          <w:szCs w:val="26"/>
        </w:rPr>
        <w:t xml:space="preserve"> «Аквариум», Хабаровский р-н, с/т «Малиновка-2»; с. Ровное; с. Виноградовка; г. Хабаровск, </w:t>
      </w:r>
      <w:proofErr w:type="spellStart"/>
      <w:r w:rsidR="005B79AF" w:rsidRPr="005B79AF">
        <w:rPr>
          <w:b/>
          <w:i/>
          <w:sz w:val="26"/>
          <w:szCs w:val="26"/>
        </w:rPr>
        <w:t>снт</w:t>
      </w:r>
      <w:proofErr w:type="spellEnd"/>
      <w:r w:rsidR="005B79AF" w:rsidRPr="005B79AF">
        <w:rPr>
          <w:b/>
          <w:i/>
          <w:sz w:val="26"/>
          <w:szCs w:val="26"/>
        </w:rPr>
        <w:t xml:space="preserve"> «Содружество»)</w:t>
      </w:r>
      <w:r w:rsidR="0055740A" w:rsidRPr="00937531">
        <w:rPr>
          <w:b/>
          <w:i/>
          <w:color w:val="000000" w:themeColor="text1"/>
        </w:rPr>
        <w:t>»</w:t>
      </w:r>
      <w:r w:rsidR="0055740A">
        <w:rPr>
          <w:b/>
          <w:i/>
          <w:color w:val="000000" w:themeColor="text1"/>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E197E">
        <w:t>31</w:t>
      </w:r>
      <w:r w:rsidR="00920EAE">
        <w:t>.08.2017г.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lastRenderedPageBreak/>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lastRenderedPageBreak/>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8E197E">
        <w:t>31</w:t>
      </w:r>
      <w:r w:rsidR="00920EAE">
        <w:t>.08.2017г.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187F0A" w:rsidRPr="00943793" w:rsidRDefault="00187F0A" w:rsidP="00187F0A">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w:t>
      </w:r>
      <w:proofErr w:type="gramStart"/>
      <w:r w:rsidRPr="00943793">
        <w:t>дств в р</w:t>
      </w:r>
      <w:proofErr w:type="gramEnd"/>
      <w:r w:rsidRPr="00943793">
        <w:t>ублях на расчетный счет Подрядчика, указанный в настоящем Договоре, либо иным способом по согласованию сторон.</w:t>
      </w:r>
    </w:p>
    <w:p w:rsidR="00187F0A" w:rsidRPr="00326195" w:rsidRDefault="00187F0A" w:rsidP="00187F0A">
      <w:pPr>
        <w:pStyle w:val="af2"/>
        <w:numPr>
          <w:ilvl w:val="1"/>
          <w:numId w:val="3"/>
        </w:numPr>
        <w:tabs>
          <w:tab w:val="left" w:pos="0"/>
          <w:tab w:val="left" w:pos="1276"/>
        </w:tabs>
        <w:ind w:left="0" w:firstLine="709"/>
        <w:jc w:val="both"/>
        <w:rPr>
          <w:b/>
          <w:i/>
          <w:color w:val="0000FF"/>
        </w:rPr>
      </w:pPr>
      <w:r w:rsidRPr="00943793">
        <w:rPr>
          <w:color w:val="000000"/>
        </w:rPr>
        <w:t xml:space="preserve">Заказчик производит оплату выполненных работ в течение </w:t>
      </w:r>
      <w:r>
        <w:rPr>
          <w:color w:val="000000"/>
        </w:rPr>
        <w:t>3</w:t>
      </w:r>
      <w:r w:rsidR="005225AB">
        <w:rPr>
          <w:color w:val="000000"/>
        </w:rPr>
        <w:t>0 (тридцати</w:t>
      </w:r>
      <w:r w:rsidRPr="00943793">
        <w:rPr>
          <w:color w:val="000000"/>
        </w:rPr>
        <w:t xml:space="preserve">) календарных дней </w:t>
      </w:r>
      <w:r>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187F0A" w:rsidRPr="00943793" w:rsidRDefault="00187F0A" w:rsidP="00187F0A">
      <w:pPr>
        <w:widowControl w:val="0"/>
        <w:tabs>
          <w:tab w:val="left" w:pos="0"/>
          <w:tab w:val="left" w:pos="1134"/>
          <w:tab w:val="left" w:pos="1276"/>
        </w:tabs>
        <w:autoSpaceDE w:val="0"/>
        <w:autoSpaceDN w:val="0"/>
        <w:adjustRightInd w:val="0"/>
        <w:ind w:firstLine="709"/>
        <w:jc w:val="both"/>
        <w:rPr>
          <w:b/>
          <w:i/>
          <w:color w:val="0000FF"/>
        </w:rPr>
      </w:pPr>
      <w:r w:rsidRPr="00943793">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w:t>
      </w:r>
      <w:r>
        <w:t>3</w:t>
      </w:r>
      <w:r w:rsidR="005225AB">
        <w:t>0 (тридцати</w:t>
      </w:r>
      <w:r w:rsidRPr="00943793">
        <w:t xml:space="preserve">) календарных дней </w:t>
      </w:r>
      <w:proofErr w:type="gramStart"/>
      <w:r w:rsidRPr="00943793">
        <w:t>с даты под</w:t>
      </w:r>
      <w:bookmarkStart w:id="0" w:name="_GoBack"/>
      <w:bookmarkEnd w:id="0"/>
      <w:r w:rsidRPr="00943793">
        <w:t>писания</w:t>
      </w:r>
      <w:proofErr w:type="gramEnd"/>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Pr>
          <w:b/>
          <w:i/>
          <w:color w:val="0000FF"/>
        </w:rPr>
        <w:t>.</w:t>
      </w:r>
    </w:p>
    <w:p w:rsidR="00187F0A" w:rsidRPr="00943793" w:rsidRDefault="00187F0A" w:rsidP="00187F0A">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187F0A" w:rsidRPr="00943793" w:rsidRDefault="00187F0A" w:rsidP="00187F0A">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187F0A" w:rsidRPr="00943793" w:rsidRDefault="00187F0A" w:rsidP="00187F0A">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3793">
        <w:t>с даты</w:t>
      </w:r>
      <w:proofErr w:type="gramEnd"/>
      <w:r w:rsidRPr="00943793">
        <w:t xml:space="preserve"> фактического получения счета Заказчиком.</w:t>
      </w:r>
    </w:p>
    <w:p w:rsidR="00187F0A" w:rsidRPr="00943793" w:rsidRDefault="00187F0A" w:rsidP="00187F0A">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w:t>
      </w:r>
      <w:proofErr w:type="gramStart"/>
      <w:r w:rsidRPr="00943793">
        <w:t>дств с р</w:t>
      </w:r>
      <w:proofErr w:type="gramEnd"/>
      <w:r w:rsidRPr="00943793">
        <w:t>асчетного счета Заказчика.</w:t>
      </w:r>
    </w:p>
    <w:p w:rsidR="00187F0A" w:rsidRPr="00943793" w:rsidRDefault="00187F0A" w:rsidP="00187F0A">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3793">
        <w:rPr>
          <w:bCs/>
        </w:rPr>
        <w:t>с даты получения</w:t>
      </w:r>
      <w:proofErr w:type="gramEnd"/>
      <w:r w:rsidRPr="00943793">
        <w:rPr>
          <w:bCs/>
        </w:rPr>
        <w:t xml:space="preserve"> соответствующего письменного требования Заказчика.</w:t>
      </w:r>
    </w:p>
    <w:p w:rsidR="00187F0A" w:rsidRDefault="00187F0A" w:rsidP="00187F0A">
      <w:pPr>
        <w:widowControl w:val="0"/>
        <w:shd w:val="clear" w:color="auto" w:fill="FFFFFF"/>
        <w:tabs>
          <w:tab w:val="left" w:pos="953"/>
        </w:tabs>
        <w:autoSpaceDE w:val="0"/>
        <w:autoSpaceDN w:val="0"/>
        <w:adjustRightInd w:val="0"/>
        <w:rPr>
          <w:b/>
          <w:i/>
          <w:color w:val="0000FF"/>
        </w:rPr>
      </w:pPr>
    </w:p>
    <w:p w:rsidR="00187F0A" w:rsidRPr="00943793" w:rsidRDefault="00187F0A" w:rsidP="00187F0A">
      <w:pPr>
        <w:pStyle w:val="af2"/>
        <w:widowControl w:val="0"/>
        <w:shd w:val="clear" w:color="auto" w:fill="FFFFFF"/>
        <w:ind w:left="426"/>
        <w:rPr>
          <w:b/>
          <w:bCs/>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219" w:rsidRDefault="00660219" w:rsidP="00153E35">
      <w:r>
        <w:separator/>
      </w:r>
    </w:p>
  </w:endnote>
  <w:endnote w:type="continuationSeparator" w:id="0">
    <w:p w:rsidR="00660219" w:rsidRDefault="0066021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219" w:rsidRDefault="00660219" w:rsidP="00153E35">
      <w:r>
        <w:separator/>
      </w:r>
    </w:p>
  </w:footnote>
  <w:footnote w:type="continuationSeparator" w:id="0">
    <w:p w:rsidR="00660219" w:rsidRDefault="00660219"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87F0A"/>
    <w:rsid w:val="00192201"/>
    <w:rsid w:val="001A055A"/>
    <w:rsid w:val="001A05F7"/>
    <w:rsid w:val="001B1F96"/>
    <w:rsid w:val="001B5893"/>
    <w:rsid w:val="001C1B8E"/>
    <w:rsid w:val="001D02F4"/>
    <w:rsid w:val="001D09CA"/>
    <w:rsid w:val="001D20FE"/>
    <w:rsid w:val="001E077C"/>
    <w:rsid w:val="001E4418"/>
    <w:rsid w:val="001E5466"/>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25AB"/>
    <w:rsid w:val="005235F7"/>
    <w:rsid w:val="005256C8"/>
    <w:rsid w:val="00530CC6"/>
    <w:rsid w:val="00550D24"/>
    <w:rsid w:val="00554457"/>
    <w:rsid w:val="00555C0B"/>
    <w:rsid w:val="0055740A"/>
    <w:rsid w:val="00557990"/>
    <w:rsid w:val="00561A2E"/>
    <w:rsid w:val="00570D92"/>
    <w:rsid w:val="00576955"/>
    <w:rsid w:val="0058412F"/>
    <w:rsid w:val="0058662B"/>
    <w:rsid w:val="00596FA0"/>
    <w:rsid w:val="005A2210"/>
    <w:rsid w:val="005A565C"/>
    <w:rsid w:val="005A578C"/>
    <w:rsid w:val="005A66F1"/>
    <w:rsid w:val="005B0CCB"/>
    <w:rsid w:val="005B3E15"/>
    <w:rsid w:val="005B79AF"/>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37F20"/>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97E"/>
    <w:rsid w:val="008E1F89"/>
    <w:rsid w:val="008E41D1"/>
    <w:rsid w:val="008E4778"/>
    <w:rsid w:val="008E701E"/>
    <w:rsid w:val="008F1F56"/>
    <w:rsid w:val="008F2A93"/>
    <w:rsid w:val="008F4171"/>
    <w:rsid w:val="008F79D1"/>
    <w:rsid w:val="00900235"/>
    <w:rsid w:val="00905FE8"/>
    <w:rsid w:val="0091153C"/>
    <w:rsid w:val="00917D37"/>
    <w:rsid w:val="00920EAE"/>
    <w:rsid w:val="009215D6"/>
    <w:rsid w:val="0092385B"/>
    <w:rsid w:val="00924EE7"/>
    <w:rsid w:val="00927665"/>
    <w:rsid w:val="0093098B"/>
    <w:rsid w:val="00933157"/>
    <w:rsid w:val="00935846"/>
    <w:rsid w:val="00937030"/>
    <w:rsid w:val="00937531"/>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6FAE"/>
    <w:rsid w:val="00AA22DE"/>
    <w:rsid w:val="00AA616F"/>
    <w:rsid w:val="00AA6B23"/>
    <w:rsid w:val="00AA6EB8"/>
    <w:rsid w:val="00AB0DDD"/>
    <w:rsid w:val="00AB15C7"/>
    <w:rsid w:val="00AC11B2"/>
    <w:rsid w:val="00AC65D4"/>
    <w:rsid w:val="00AC7788"/>
    <w:rsid w:val="00AD0064"/>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B2C8A-BFF0-4162-A0EF-0F23CB8C9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29</Pages>
  <Words>9073</Words>
  <Characters>66484</Characters>
  <Application>Microsoft Office Word</Application>
  <DocSecurity>0</DocSecurity>
  <Lines>554</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75407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23</cp:revision>
  <cp:lastPrinted>2017-03-13T02:56:00Z</cp:lastPrinted>
  <dcterms:created xsi:type="dcterms:W3CDTF">2017-03-03T07:10:00Z</dcterms:created>
  <dcterms:modified xsi:type="dcterms:W3CDTF">2017-05-30T00:30:00Z</dcterms:modified>
</cp:coreProperties>
</file>