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72" w:rsidRPr="00D4645A" w:rsidRDefault="00E40AAE">
      <w:pPr>
        <w:pStyle w:val="30"/>
        <w:framePr w:wrap="around" w:vAnchor="page" w:hAnchor="page" w:x="1074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 xml:space="preserve"> </w:t>
      </w:r>
      <w:r w:rsidR="005D268B" w:rsidRPr="00D4645A">
        <w:rPr>
          <w:sz w:val="26"/>
          <w:szCs w:val="26"/>
        </w:rPr>
        <w:t>«</w:t>
      </w:r>
    </w:p>
    <w:p w:rsidR="00F45A72" w:rsidRPr="00D4645A" w:rsidRDefault="005D268B">
      <w:pPr>
        <w:pStyle w:val="31"/>
        <w:framePr w:wrap="around" w:vAnchor="page" w:hAnchor="page" w:x="1592" w:y="3384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F45A72" w:rsidRPr="00D4645A" w:rsidRDefault="005D268B" w:rsidP="00565DDA">
      <w:pPr>
        <w:pStyle w:val="30"/>
        <w:framePr w:wrap="around" w:vAnchor="page" w:hAnchor="page" w:x="6733" w:y="3391"/>
        <w:shd w:val="clear" w:color="auto" w:fill="auto"/>
        <w:spacing w:line="230" w:lineRule="exact"/>
        <w:ind w:left="100"/>
        <w:jc w:val="both"/>
        <w:rPr>
          <w:sz w:val="26"/>
          <w:szCs w:val="26"/>
        </w:rPr>
      </w:pPr>
      <w:r w:rsidRPr="00D4645A">
        <w:rPr>
          <w:sz w:val="26"/>
          <w:szCs w:val="26"/>
        </w:rPr>
        <w:t>«</w:t>
      </w:r>
    </w:p>
    <w:p w:rsidR="00F45A72" w:rsidRPr="00D4645A" w:rsidRDefault="005D268B">
      <w:pPr>
        <w:pStyle w:val="31"/>
        <w:framePr w:wrap="around" w:vAnchor="page" w:hAnchor="page" w:x="7510" w:y="3391"/>
        <w:shd w:val="clear" w:color="auto" w:fill="auto"/>
        <w:spacing w:line="230" w:lineRule="exact"/>
        <w:ind w:left="100"/>
        <w:rPr>
          <w:sz w:val="26"/>
          <w:szCs w:val="26"/>
        </w:rPr>
      </w:pPr>
      <w:r w:rsidRPr="00D4645A">
        <w:rPr>
          <w:sz w:val="26"/>
          <w:szCs w:val="26"/>
        </w:rPr>
        <w:t>»</w:t>
      </w:r>
    </w:p>
    <w:p w:rsidR="00547C73" w:rsidRDefault="00547C73" w:rsidP="00D4645A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547C73" w:rsidRDefault="00547C73" w:rsidP="00D4645A">
      <w:pPr>
        <w:pStyle w:val="30"/>
        <w:shd w:val="clear" w:color="auto" w:fill="auto"/>
        <w:spacing w:line="320" w:lineRule="exact"/>
        <w:jc w:val="center"/>
        <w:rPr>
          <w:sz w:val="26"/>
          <w:szCs w:val="26"/>
        </w:rPr>
      </w:pPr>
    </w:p>
    <w:p w:rsidR="00565DDA" w:rsidRDefault="00565DDA" w:rsidP="006B7835">
      <w:pPr>
        <w:pStyle w:val="ab"/>
        <w:shd w:val="clear" w:color="auto" w:fill="auto"/>
        <w:spacing w:line="220" w:lineRule="exact"/>
        <w:ind w:right="20"/>
      </w:pPr>
    </w:p>
    <w:p w:rsidR="00565DDA" w:rsidRPr="00EC0AAA" w:rsidRDefault="00565DDA" w:rsidP="00E40AAE">
      <w:pPr>
        <w:pStyle w:val="ab"/>
        <w:shd w:val="clear" w:color="auto" w:fill="auto"/>
        <w:spacing w:line="220" w:lineRule="exact"/>
        <w:ind w:right="20"/>
        <w:jc w:val="left"/>
      </w:pPr>
    </w:p>
    <w:p w:rsidR="00565DDA" w:rsidRDefault="00565DDA" w:rsidP="006B7835">
      <w:pPr>
        <w:pStyle w:val="ab"/>
        <w:shd w:val="clear" w:color="auto" w:fill="auto"/>
        <w:spacing w:line="220" w:lineRule="exact"/>
        <w:ind w:right="20"/>
      </w:pPr>
    </w:p>
    <w:p w:rsidR="00F45A72" w:rsidRDefault="005D268B" w:rsidP="006B7835">
      <w:pPr>
        <w:pStyle w:val="ab"/>
        <w:shd w:val="clear" w:color="auto" w:fill="auto"/>
        <w:spacing w:line="220" w:lineRule="exact"/>
        <w:ind w:right="20"/>
      </w:pPr>
      <w:r>
        <w:t xml:space="preserve">Приложение </w:t>
      </w:r>
      <w:r w:rsidR="009F1AD0">
        <w:t>5</w:t>
      </w:r>
      <w:bookmarkStart w:id="0" w:name="_GoBack"/>
      <w:bookmarkEnd w:id="0"/>
      <w:r>
        <w:t xml:space="preserve"> к ТЗ</w:t>
      </w:r>
    </w:p>
    <w:p w:rsidR="00F45A72" w:rsidRDefault="005D268B" w:rsidP="006B7835">
      <w:pPr>
        <w:pStyle w:val="31"/>
        <w:shd w:val="clear" w:color="auto" w:fill="auto"/>
        <w:spacing w:after="119" w:line="230" w:lineRule="exact"/>
        <w:ind w:left="20"/>
        <w:jc w:val="center"/>
      </w:pPr>
      <w:r>
        <w:t>ПРОТОКОЛ</w:t>
      </w:r>
    </w:p>
    <w:p w:rsidR="00F45A72" w:rsidRDefault="005D268B" w:rsidP="006B7835">
      <w:pPr>
        <w:pStyle w:val="31"/>
        <w:shd w:val="clear" w:color="auto" w:fill="auto"/>
        <w:spacing w:line="230" w:lineRule="exact"/>
        <w:ind w:left="20"/>
        <w:jc w:val="center"/>
      </w:pPr>
      <w:r>
        <w:t>согласования нормативов для расчетов сметной документации</w:t>
      </w:r>
    </w:p>
    <w:tbl>
      <w:tblPr>
        <w:tblW w:w="10206" w:type="dxa"/>
        <w:tblInd w:w="1242" w:type="dxa"/>
        <w:tblLook w:val="04A0" w:firstRow="1" w:lastRow="0" w:firstColumn="1" w:lastColumn="0" w:noHBand="0" w:noVBand="1"/>
      </w:tblPr>
      <w:tblGrid>
        <w:gridCol w:w="850"/>
        <w:gridCol w:w="4370"/>
        <w:gridCol w:w="4986"/>
      </w:tblGrid>
      <w:tr w:rsidR="006B7835" w:rsidRPr="006B7835" w:rsidTr="00440547">
        <w:trPr>
          <w:trHeight w:val="480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№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/п</w:t>
            </w:r>
          </w:p>
        </w:tc>
        <w:tc>
          <w:tcPr>
            <w:tcW w:w="4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835" w:rsidRPr="006B7835" w:rsidRDefault="006B7835" w:rsidP="006B783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Наименование глав, работ и затрат</w:t>
            </w:r>
          </w:p>
        </w:tc>
        <w:tc>
          <w:tcPr>
            <w:tcW w:w="4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Локальные сметные расчеты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12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Выполнение локальных сметных расчетов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Локальные сметные расчеты выполняются в базисном уровне цен (редакция 2014г. с учетом изменений),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Расчет производится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ТЕР,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ТЕРм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ТССЦпг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, ТСЭМ,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ТЕРп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ТССЦ. Исключением являются: ЭС ЕАО и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Южно-Якутские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ЭС, расчет смет производится по ФЕР (федеральным единичным расценкам).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Накладные расходы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Принимаются по видам работ от фонда оплаты труда в соответствие с МДС 81-33.2004, МДС 81-34.2004, письмом Госстроя от 27.11.2012 №&gt; 2536-ИП/12/ГС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Сметная прибыль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ФАСиЖКХ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от 18.11.2004 ХЬАП-5536/06, письмом Госстроя от 27.11.2012 № 2536-ИП/12/ГС</w:t>
            </w:r>
          </w:p>
        </w:tc>
      </w:tr>
      <w:tr w:rsidR="006B7835" w:rsidRPr="006B7835" w:rsidTr="00440547">
        <w:trPr>
          <w:trHeight w:val="19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Стоимость материалов, конструкций и изделий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Определяется по ТССЦ соответствующего региона и ФССЦ. Перевозка материалов, конструкций и изделий учтена на расстояние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приобъектный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склад строящегося объекта и заготовительно-складские расходы (строительные материалы - </w:t>
            </w:r>
            <w:r w:rsidRPr="006B7835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2%,</w:t>
            </w: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металлоконструкции - 0,75%).</w:t>
            </w:r>
          </w:p>
        </w:tc>
      </w:tr>
      <w:tr w:rsidR="006B7835" w:rsidRPr="006B7835" w:rsidTr="00440547">
        <w:trPr>
          <w:trHeight w:val="14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ind w:left="171"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Определение затрат на перевозку грузов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расхода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) материалов. При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калькулировании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6B7835" w:rsidRPr="006B7835" w:rsidTr="00440547">
        <w:trPr>
          <w:trHeight w:val="19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Стоимость оборудования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объектного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калькулирования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6B7835" w:rsidRPr="006B7835" w:rsidTr="00440547">
        <w:trPr>
          <w:trHeight w:val="2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i/>
                <w:iCs/>
                <w:color w:val="auto"/>
                <w:sz w:val="18"/>
                <w:szCs w:val="18"/>
                <w:lang w:bidi="ar-SA"/>
              </w:rPr>
              <w:t>Сводный сметный расчет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Глава 1. Подготовка территории строительства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Оформление земельного участка и разбивочные работы: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2.1.1.1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по отводу земельного участка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договорных цен, установленных организациями-исполнителями и включаются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 графы 7, 8.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2.1.1.2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6B7835" w:rsidRPr="006B7835" w:rsidTr="00440547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2.1.1.3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Плата за землю при изъятии (выкупе) земельного участка для строительства, а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таюке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выплата земельного налога (аренды) в период строительства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8).</w:t>
            </w:r>
          </w:p>
        </w:tc>
      </w:tr>
      <w:tr w:rsidR="006B7835" w:rsidRPr="006B7835" w:rsidTr="00440547">
        <w:trPr>
          <w:trHeight w:val="120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2.1.1.4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таюке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Определяются на основании расчетов и цен на эти услуги (графы 7 и 8).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Освоение территории строительства.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2.1.2.1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Затраты, связанные с компенсацией, возмещением - определяются по расчету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собственности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 8)</w:t>
            </w:r>
          </w:p>
        </w:tc>
      </w:tr>
      <w:tr w:rsidR="006B7835" w:rsidRPr="006B7835" w:rsidTr="00440547">
        <w:trPr>
          <w:trHeight w:val="7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2.1.2,2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Затраты, связанные с освоением территории строительства и включаемые в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строительномонтажные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Глава 8. Временные здания и сооружения.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Размер средств на временные здания и сооружения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Глава 9. Прочие работы и затраты.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Дополнительные затраты при производстве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строительномонтажных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работ в зимнее время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ГСН 81-05-02-2007. Температурная зона - приложение 1 п.25; Дополнительные затраты, связанные с воздействием ветра - п.9 Общих положений.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Определяются локальным сметным расчетом на основе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6B7835" w:rsidRPr="006B7835" w:rsidTr="00440547">
        <w:trPr>
          <w:trHeight w:val="12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Определяются расчетами на основе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с учетом обосновывающих данных транспортных предприятий (графы 7 и 8). Затраты по перевозке автотранспортом работников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строительномонтажных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4.4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Затраты, связанные с осуществлением работ вахтовым методом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Определяются расчетами на основе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6B7835" w:rsidRPr="006B7835" w:rsidTr="00440547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</w:t>
            </w: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Постановление Правительства РФ от 02.10.02 №729.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4.6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связанные с перебазированием техники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Перебазировка техники определяется расчетом на основании ПОС. (графы 7 и 8)</w:t>
            </w:r>
          </w:p>
        </w:tc>
      </w:tr>
      <w:tr w:rsidR="006B7835" w:rsidRPr="006B7835" w:rsidTr="00440547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Согласно приложения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8 п.9.8 МДС 81-35.2004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7 и 8.)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Исключен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Приказ Минстроя России от 16.06.2014 №294/</w:t>
            </w:r>
            <w:proofErr w:type="spellStart"/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пр</w:t>
            </w:r>
            <w:proofErr w:type="spellEnd"/>
            <w:proofErr w:type="gramEnd"/>
          </w:p>
        </w:tc>
      </w:tr>
      <w:tr w:rsidR="006B7835" w:rsidRPr="006B7835" w:rsidTr="00440547">
        <w:trPr>
          <w:trHeight w:val="7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Затраты на проведение пусконаладочных работ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Локальные сметные расчеты составляются на основании 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Росстроя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от 05.09.2007 №СК-3253/02. (графы 7 и 8)</w:t>
            </w:r>
          </w:p>
        </w:tc>
      </w:tr>
      <w:tr w:rsidR="006B7835" w:rsidRPr="006B7835" w:rsidTr="00440547">
        <w:trPr>
          <w:trHeight w:val="2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4.10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Дополнительные затраты на доставку материалов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Определяется расчетом, который обосновывается проектом организации строительства, (графы 4 и 8)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4.11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 больше 3,74% по итогу глав 1-8 сводного сметного расчета стоимости строительства без учета стоимости оборудования, (графы 7 и 8)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Глава 10. Содержание службы заказчика. Строительный контроль.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Содержание службы заказчика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 больше 1,2% от стоимости строительства объекта, п. 3.2.19 (графы 7 и 8)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5.2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Строительный контроль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Постановление Правительства РФ от 21.06.2010 №468 (графы 7 и 8)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Глава 12. Публичный технологический и ценовой аудит, проектные и изыскательские работы.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6.1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Проектно-изыскательские работы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-с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огласно расчета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Соответствует стоимости договора на проектно-изыскательские работы с учетом письма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Минрегиона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РФ от 23.06.09 № 19281-ИП/08 (графы 7 и 8)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6.2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Экспертиза проекта 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-(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Постановление Правительства РФ от 05.03.07 №145)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Минрегиона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РФ от 18.06.09 № 18712 - ИМ/08, (графы 7 и 8)</w:t>
            </w:r>
          </w:p>
        </w:tc>
      </w:tr>
      <w:tr w:rsidR="006B7835" w:rsidRPr="006B7835" w:rsidTr="00440547">
        <w:trPr>
          <w:trHeight w:val="4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6.3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Авторский надзор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Минрегиона</w:t>
            </w:r>
            <w:proofErr w:type="spell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РФ от 25.02.2009г. №4882-СМ/08. (графы 7 и 8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 )</w:t>
            </w:r>
            <w:proofErr w:type="gramEnd"/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Непредвиденные затраты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7.1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Непредвиденные затраты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3% (п.4.96 МДС 81-35.2004)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НДС 18%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 основании Федерального закона РФ от 07.07.2003г №117-ФЗ</w:t>
            </w:r>
            <w:proofErr w:type="gramStart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.(</w:t>
            </w:r>
            <w:proofErr w:type="gramEnd"/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графы 4-8)</w:t>
            </w:r>
          </w:p>
        </w:tc>
      </w:tr>
      <w:tr w:rsidR="006B7835" w:rsidRPr="006B7835" w:rsidTr="00440547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ind w:firstLineChars="200" w:firstLine="400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6B7835" w:rsidRPr="006B7835" w:rsidTr="00440547">
        <w:trPr>
          <w:trHeight w:val="7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jc w:val="right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Перевод в текущие цены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B7835" w:rsidRPr="006B7835" w:rsidRDefault="006B7835" w:rsidP="006B7835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6B7835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Сметная документация составляется в базисном, текущем и прогнозном уровне цен. Индексы изменения сметной стоимости СМР применяются в соответствии с рекомендациями РЦЦС. 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F45A72" w:rsidRDefault="00F45A72">
      <w:pPr>
        <w:rPr>
          <w:sz w:val="2"/>
          <w:szCs w:val="2"/>
        </w:rPr>
      </w:pPr>
    </w:p>
    <w:p w:rsidR="006B7835" w:rsidRDefault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6B7835" w:rsidRPr="006B7835" w:rsidRDefault="006B7835" w:rsidP="006B7835">
      <w:pPr>
        <w:rPr>
          <w:sz w:val="2"/>
          <w:szCs w:val="2"/>
        </w:rPr>
      </w:pPr>
    </w:p>
    <w:p w:rsidR="00F45A72" w:rsidRDefault="00F45A72">
      <w:pPr>
        <w:rPr>
          <w:sz w:val="2"/>
          <w:szCs w:val="2"/>
        </w:rPr>
        <w:sectPr w:rsidR="00F45A72" w:rsidSect="00440547">
          <w:pgSz w:w="11909" w:h="16838"/>
          <w:pgMar w:top="0" w:right="710" w:bottom="0" w:left="0" w:header="0" w:footer="3" w:gutter="0"/>
          <w:cols w:space="720"/>
          <w:noEndnote/>
          <w:docGrid w:linePitch="360"/>
        </w:sectPr>
      </w:pPr>
    </w:p>
    <w:p w:rsidR="000A1684" w:rsidRPr="00440547" w:rsidRDefault="000A1684" w:rsidP="00C868F3">
      <w:pPr>
        <w:tabs>
          <w:tab w:val="left" w:pos="956"/>
        </w:tabs>
        <w:rPr>
          <w:rFonts w:ascii="Times New Roman" w:hAnsi="Times New Roman" w:cs="Times New Roman"/>
        </w:rPr>
      </w:pPr>
    </w:p>
    <w:p w:rsidR="000A1684" w:rsidRPr="000A1684" w:rsidRDefault="000A1684" w:rsidP="000A1684">
      <w:pPr>
        <w:tabs>
          <w:tab w:val="left" w:pos="9498"/>
        </w:tabs>
        <w:ind w:left="13325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Приложение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6.</w:t>
      </w:r>
    </w:p>
    <w:p w:rsidR="000A1684" w:rsidRPr="000A1684" w:rsidRDefault="000A1684" w:rsidP="000A1684">
      <w:pPr>
        <w:tabs>
          <w:tab w:val="left" w:pos="9498"/>
        </w:tabs>
        <w:ind w:left="11482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A1684" w:rsidRPr="000A1684" w:rsidRDefault="000A1684" w:rsidP="000A1684">
      <w:pPr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Требования к оформлению результатов расчетов максимально допустимых </w:t>
      </w:r>
      <w:proofErr w:type="spellStart"/>
      <w:r w:rsidRPr="000A1684">
        <w:rPr>
          <w:rFonts w:ascii="Times New Roman" w:eastAsia="Calibri" w:hAnsi="Times New Roman" w:cs="Times New Roman"/>
          <w:b/>
          <w:color w:val="auto"/>
          <w:lang w:eastAsia="en-US" w:bidi="ar-SA"/>
        </w:rPr>
        <w:t>перетоков</w:t>
      </w:r>
      <w:proofErr w:type="spellEnd"/>
    </w:p>
    <w:p w:rsidR="000A1684" w:rsidRPr="000A1684" w:rsidRDefault="000A1684" w:rsidP="000A1684">
      <w:pPr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 xml:space="preserve">Таблица результатов расчетов максимально допустимых </w:t>
      </w:r>
      <w:proofErr w:type="spellStart"/>
      <w:r w:rsidRPr="000A1684">
        <w:rPr>
          <w:rFonts w:ascii="Times New Roman" w:eastAsia="Calibri" w:hAnsi="Times New Roman" w:cs="Times New Roman"/>
          <w:color w:val="auto"/>
          <w:lang w:eastAsia="en-US" w:bidi="ar-SA"/>
        </w:rPr>
        <w:t>перетоков</w:t>
      </w:r>
      <w:proofErr w:type="spellEnd"/>
    </w:p>
    <w:tbl>
      <w:tblPr>
        <w:tblW w:w="14716" w:type="dxa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556"/>
        <w:gridCol w:w="698"/>
        <w:gridCol w:w="7"/>
        <w:gridCol w:w="9"/>
        <w:gridCol w:w="558"/>
        <w:gridCol w:w="9"/>
        <w:gridCol w:w="77"/>
        <w:gridCol w:w="339"/>
        <w:gridCol w:w="9"/>
        <w:gridCol w:w="702"/>
        <w:gridCol w:w="7"/>
        <w:gridCol w:w="701"/>
        <w:gridCol w:w="7"/>
        <w:gridCol w:w="419"/>
        <w:gridCol w:w="7"/>
        <w:gridCol w:w="300"/>
        <w:gridCol w:w="118"/>
        <w:gridCol w:w="7"/>
        <w:gridCol w:w="560"/>
        <w:gridCol w:w="7"/>
        <w:gridCol w:w="702"/>
        <w:gridCol w:w="7"/>
        <w:gridCol w:w="701"/>
        <w:gridCol w:w="7"/>
        <w:gridCol w:w="842"/>
        <w:gridCol w:w="9"/>
        <w:gridCol w:w="841"/>
        <w:gridCol w:w="9"/>
        <w:gridCol w:w="984"/>
        <w:gridCol w:w="9"/>
        <w:gridCol w:w="699"/>
        <w:gridCol w:w="9"/>
        <w:gridCol w:w="558"/>
        <w:gridCol w:w="9"/>
        <w:gridCol w:w="700"/>
        <w:gridCol w:w="9"/>
        <w:gridCol w:w="558"/>
        <w:gridCol w:w="9"/>
        <w:gridCol w:w="1274"/>
        <w:gridCol w:w="1136"/>
      </w:tblGrid>
      <w:tr w:rsidR="000A1684" w:rsidRPr="000A1684" w:rsidTr="00C868F3">
        <w:trPr>
          <w:trHeight w:val="227"/>
        </w:trPr>
        <w:tc>
          <w:tcPr>
            <w:tcW w:w="2461" w:type="dxa"/>
            <w:gridSpan w:val="8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Сечение</w:t>
            </w:r>
          </w:p>
        </w:tc>
        <w:tc>
          <w:tcPr>
            <w:tcW w:w="2491" w:type="dxa"/>
            <w:gridSpan w:val="9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vertAlign w:val="superscript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ΔРнк</w:t>
            </w:r>
            <w:proofErr w:type="gramStart"/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vertAlign w:val="superscript"/>
                <w:lang w:eastAsia="en-US" w:bidi="ar-SA"/>
              </w:rPr>
              <w:t>1</w:t>
            </w:r>
            <w:proofErr w:type="gramEnd"/>
          </w:p>
        </w:tc>
        <w:tc>
          <w:tcPr>
            <w:tcW w:w="9764" w:type="dxa"/>
            <w:gridSpan w:val="24"/>
          </w:tcPr>
          <w:p w:rsidR="000A1684" w:rsidRPr="000A1684" w:rsidRDefault="000A1684" w:rsidP="000A1684">
            <w:pPr>
              <w:jc w:val="right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1750" w:type="dxa"/>
            <w:gridSpan w:val="37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Результаты расчетов установившихся режимов и статической устойчивости</w:t>
            </w:r>
          </w:p>
        </w:tc>
        <w:tc>
          <w:tcPr>
            <w:tcW w:w="2419" w:type="dxa"/>
            <w:gridSpan w:val="3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 xml:space="preserve">Максимально допустимый </w:t>
            </w:r>
            <w:proofErr w:type="spellStart"/>
            <w:r w:rsidRPr="000A1684">
              <w:rPr>
                <w:rFonts w:ascii="Times New Roman" w:eastAsia="Calibri" w:hAnsi="Times New Roman" w:cs="Times New Roman"/>
                <w:b/>
                <w:bCs/>
                <w:color w:val="auto"/>
                <w:lang w:eastAsia="en-US" w:bidi="ar-SA"/>
              </w:rPr>
              <w:t>переток</w:t>
            </w:r>
            <w:proofErr w:type="spellEnd"/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№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/п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Схема сети</w:t>
            </w:r>
          </w:p>
        </w:tc>
        <w:tc>
          <w:tcPr>
            <w:tcW w:w="2408" w:type="dxa"/>
            <w:gridSpan w:val="9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нормальной схеме по критерию токовой загрузки</w:t>
            </w:r>
          </w:p>
        </w:tc>
        <w:tc>
          <w:tcPr>
            <w:tcW w:w="1559" w:type="dxa"/>
            <w:gridSpan w:val="7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нормальной схеме по критерию статической устойчивости</w:t>
            </w:r>
          </w:p>
        </w:tc>
        <w:tc>
          <w:tcPr>
            <w:tcW w:w="3683" w:type="dxa"/>
            <w:gridSpan w:val="10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Длительно 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послеаварийной схеме по критерию токовой загрузки</w:t>
            </w:r>
          </w:p>
        </w:tc>
        <w:tc>
          <w:tcPr>
            <w:tcW w:w="3544" w:type="dxa"/>
            <w:gridSpan w:val="10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Длительно допустимый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послеаварийной схеме по критерию статической устойчивости</w:t>
            </w:r>
          </w:p>
        </w:tc>
        <w:tc>
          <w:tcPr>
            <w:tcW w:w="1283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без ПА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19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13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МДП с ПА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20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критерию токовой загрузки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2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Рто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к-</w:t>
            </w:r>
            <w:proofErr w:type="gramEnd"/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3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Ограничивающий элемент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4</w:t>
            </w:r>
            <w:proofErr w:type="gramEnd"/>
          </w:p>
        </w:tc>
        <w:tc>
          <w:tcPr>
            <w:tcW w:w="711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Величина длительно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допустимой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токовой нагрузки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5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статической устойчивости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6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*0,8-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7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425" w:type="dxa"/>
            <w:gridSpan w:val="3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P(U)-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>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8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Нормативное аварийное возмущение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9</w:t>
            </w:r>
            <w:proofErr w:type="gramEnd"/>
          </w:p>
        </w:tc>
        <w:tc>
          <w:tcPr>
            <w:tcW w:w="709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доаварийной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схеме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ток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)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10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ток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699" w:type="dxa"/>
            <w:gridSpan w:val="4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Элемент сети, ограничивающий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в сечении</w:t>
            </w:r>
          </w:p>
        </w:tc>
        <w:tc>
          <w:tcPr>
            <w:tcW w:w="993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Предельный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переток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по статической устойчивости 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14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Рпр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*0,92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5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16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д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 xml:space="preserve"> 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(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п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/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ав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)-</w:t>
            </w:r>
            <w:r w:rsidRPr="00C868F3">
              <w:rPr>
                <w:rFonts w:ascii="Times New Roman" w:eastAsia="Calibri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  <w:t xml:space="preserve"> Δ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Рнк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17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P(U)- </w:t>
            </w:r>
            <w:proofErr w:type="spell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ΔРнк</w:t>
            </w:r>
            <w:proofErr w:type="spell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18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МВт</w:t>
            </w:r>
          </w:p>
        </w:tc>
        <w:tc>
          <w:tcPr>
            <w:tcW w:w="1283" w:type="dxa"/>
            <w:gridSpan w:val="2"/>
            <w:vMerge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38"/>
        </w:trPr>
        <w:tc>
          <w:tcPr>
            <w:tcW w:w="547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49" w:type="dxa"/>
            <w:gridSpan w:val="2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Перегружаемый элемент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val="en-US" w:eastAsia="en-US" w:bidi="ar-SA"/>
              </w:rPr>
              <w:t>2</w:t>
            </w:r>
          </w:p>
        </w:tc>
        <w:tc>
          <w:tcPr>
            <w:tcW w:w="850" w:type="dxa"/>
            <w:gridSpan w:val="2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Величина  аварийно </w:t>
            </w:r>
            <w:proofErr w:type="gramStart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допустимой</w:t>
            </w:r>
            <w:proofErr w:type="gramEnd"/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нагрузки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vertAlign w:val="superscript"/>
                <w:lang w:eastAsia="en-US" w:bidi="ar-SA"/>
              </w:rPr>
              <w:t>13</w:t>
            </w: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, А</w:t>
            </w:r>
          </w:p>
        </w:tc>
        <w:tc>
          <w:tcPr>
            <w:tcW w:w="993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05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425" w:type="dxa"/>
            <w:gridSpan w:val="3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711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6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7</w:t>
            </w:r>
          </w:p>
        </w:tc>
        <w:tc>
          <w:tcPr>
            <w:tcW w:w="426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8</w:t>
            </w:r>
          </w:p>
        </w:tc>
        <w:tc>
          <w:tcPr>
            <w:tcW w:w="425" w:type="dxa"/>
            <w:gridSpan w:val="3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9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10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11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12</w:t>
            </w:r>
          </w:p>
        </w:tc>
        <w:tc>
          <w:tcPr>
            <w:tcW w:w="84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13</w:t>
            </w:r>
          </w:p>
        </w:tc>
        <w:tc>
          <w:tcPr>
            <w:tcW w:w="850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14</w:t>
            </w:r>
          </w:p>
        </w:tc>
        <w:tc>
          <w:tcPr>
            <w:tcW w:w="993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15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16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17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18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19</w:t>
            </w:r>
          </w:p>
        </w:tc>
        <w:tc>
          <w:tcPr>
            <w:tcW w:w="1283" w:type="dxa"/>
            <w:gridSpan w:val="2"/>
          </w:tcPr>
          <w:p w:rsidR="000A1684" w:rsidRPr="00C868F3" w:rsidRDefault="000A1684" w:rsidP="00B0058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B0058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0</w:t>
            </w:r>
          </w:p>
        </w:tc>
        <w:tc>
          <w:tcPr>
            <w:tcW w:w="1136" w:type="dxa"/>
          </w:tcPr>
          <w:p w:rsidR="000A1684" w:rsidRPr="00C868F3" w:rsidRDefault="000A1684" w:rsidP="00B00587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  <w:r w:rsidR="00B0058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Нормальная</w:t>
            </w:r>
          </w:p>
        </w:tc>
        <w:tc>
          <w:tcPr>
            <w:tcW w:w="705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11" w:type="dxa"/>
            <w:gridSpan w:val="2"/>
            <w:vMerge w:val="restart"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6" w:type="dxa"/>
            <w:gridSpan w:val="2"/>
            <w:vMerge w:val="restart"/>
            <w:textDirection w:val="btLr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5" w:type="dxa"/>
            <w:gridSpan w:val="3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C868F3" w:rsidRDefault="000A1684" w:rsidP="000A1684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C868F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283" w:type="dxa"/>
            <w:gridSpan w:val="2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C868F3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5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1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4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83" w:type="dxa"/>
            <w:gridSpan w:val="2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14169" w:type="dxa"/>
            <w:gridSpan w:val="40"/>
          </w:tcPr>
          <w:p w:rsidR="000A1684" w:rsidRPr="000A1684" w:rsidRDefault="000A1684" w:rsidP="000A168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одного элемента сети: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2.1.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14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14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0A1684" w:rsidRPr="000A1684" w:rsidTr="00C868F3">
        <w:trPr>
          <w:trHeight w:val="227"/>
        </w:trPr>
        <w:tc>
          <w:tcPr>
            <w:tcW w:w="547" w:type="dxa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14169" w:type="dxa"/>
            <w:gridSpan w:val="40"/>
          </w:tcPr>
          <w:p w:rsidR="000A1684" w:rsidRPr="000A1684" w:rsidRDefault="000A1684" w:rsidP="000A1684">
            <w:pPr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Ремонт двух элементов сети:</w:t>
            </w: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3.1.</w:t>
            </w:r>
          </w:p>
        </w:tc>
        <w:tc>
          <w:tcPr>
            <w:tcW w:w="556" w:type="dxa"/>
            <w:vMerge w:val="restart"/>
            <w:textDirection w:val="btLr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698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83" w:type="dxa"/>
            <w:gridSpan w:val="4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6" w:type="dxa"/>
            <w:gridSpan w:val="2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425" w:type="dxa"/>
            <w:gridSpan w:val="3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</w:pP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 w:val="restart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outlineLvl w:val="2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EF053A" w:rsidRPr="000A1684" w:rsidTr="00C868F3">
        <w:trPr>
          <w:trHeight w:val="227"/>
        </w:trPr>
        <w:tc>
          <w:tcPr>
            <w:tcW w:w="547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56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698" w:type="dxa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83" w:type="dxa"/>
            <w:gridSpan w:val="4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9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708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6" w:type="dxa"/>
            <w:gridSpan w:val="2"/>
            <w:vMerge/>
          </w:tcPr>
          <w:p w:rsidR="000A1684" w:rsidRPr="000A1684" w:rsidRDefault="000A1684" w:rsidP="000A1684">
            <w:pP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25" w:type="dxa"/>
            <w:gridSpan w:val="3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1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850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993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8" w:type="dxa"/>
            <w:gridSpan w:val="2"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709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567" w:type="dxa"/>
            <w:gridSpan w:val="2"/>
            <w:noWrap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A168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 </w:t>
            </w:r>
          </w:p>
        </w:tc>
        <w:tc>
          <w:tcPr>
            <w:tcW w:w="1274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136" w:type="dxa"/>
            <w:vMerge/>
          </w:tcPr>
          <w:p w:rsidR="000A1684" w:rsidRPr="000A1684" w:rsidRDefault="000A1684" w:rsidP="000A1684">
            <w:pPr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</w:tbl>
    <w:p w:rsidR="000A1684" w:rsidRPr="000A1684" w:rsidRDefault="000A1684" w:rsidP="000A1684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</w:p>
    <w:p w:rsidR="000A1684" w:rsidRPr="000A1684" w:rsidRDefault="000A1684" w:rsidP="000A1684">
      <w:pPr>
        <w:ind w:left="720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Примечания: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1 - амплитуда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2 -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по критерию длительно допустимой токовой нагрузки элемента сети;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3 -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длительно допустимой токовой нагрузки элемента сети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4 - элемент ограничивающий токовую нагрузку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5 - допустимая токовая нагрузка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, которая допустима неограниченное время, и определенная с учетом токовой нагрузки провода ВЛ и оборудования ПС;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6 -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7 -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коэффициента запаса по активной мощности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8 -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нормальной схеме с учетом коэффициента запаса по напряжению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9 - наиболее тяжелое аварийное возмущение по критерию токовой загрузки;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10 -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аварийно допустимой токовой нагрузке в послеаварийной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11 -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аварийно допустимой токовой нагрузке в послеаварийной схеме, с учетом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12 - элемент, перегружаемый по току в послеаварийном режиме при нормативном возмущении;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13 - допустимая токовая нагрузка </w:t>
      </w:r>
      <w:proofErr w:type="gram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ВЛ</w:t>
      </w:r>
      <w:proofErr w:type="gram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, которая допустима ограниченное время в послеаварийном режиме, и определенная с учетом токовой нагрузки провода ВЛ и оборудования ПС;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14 -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послеаварийной схеме;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15 - предельный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послеаварийной схеме с учетом коэффициента запаса по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16 -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17 -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активной мощности и амплитуды нерегулярных колебаний активной мощности;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18 -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в сечении в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доаварийной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схеме, соответствующий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перетоку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по апериодической статической устойчивости в послеаварийной схеме, с учетом коэффициента запаса по устойчивости и амплитуды нерегулярных колебаний активной мощности. Если расчетное значение больше значения, указанного в столбце 8, то необходимо указать «-»;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i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19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без учета действия ПА;</w:t>
      </w:r>
    </w:p>
    <w:p w:rsidR="000A1684" w:rsidRPr="000A1684" w:rsidRDefault="000A1684" w:rsidP="000A1684">
      <w:pPr>
        <w:ind w:left="720"/>
        <w:jc w:val="both"/>
        <w:rPr>
          <w:rFonts w:ascii="Times New Roman" w:eastAsia="Calibri" w:hAnsi="Times New Roman" w:cs="Times New Roman"/>
          <w:color w:val="auto"/>
          <w:sz w:val="22"/>
          <w:szCs w:val="20"/>
          <w:lang w:eastAsia="en-US" w:bidi="ar-SA"/>
        </w:rPr>
      </w:pP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2</w:t>
      </w:r>
      <w:r>
        <w:rPr>
          <w:rFonts w:ascii="Times New Roman" w:eastAsia="Calibri" w:hAnsi="Times New Roman" w:cs="Times New Roman"/>
          <w:i/>
          <w:color w:val="auto"/>
          <w:lang w:eastAsia="en-US" w:bidi="ar-SA"/>
        </w:rPr>
        <w:t>0</w:t>
      </w:r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- максимально допустимый </w:t>
      </w:r>
      <w:proofErr w:type="spellStart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>переток</w:t>
      </w:r>
      <w:proofErr w:type="spellEnd"/>
      <w:r w:rsidRPr="000A1684">
        <w:rPr>
          <w:rFonts w:ascii="Times New Roman" w:eastAsia="Calibri" w:hAnsi="Times New Roman" w:cs="Times New Roman"/>
          <w:i/>
          <w:color w:val="auto"/>
          <w:lang w:eastAsia="en-US" w:bidi="ar-SA"/>
        </w:rPr>
        <w:t xml:space="preserve"> с учетом действия ПА.</w:t>
      </w:r>
    </w:p>
    <w:p w:rsidR="000A1684" w:rsidRPr="000A1684" w:rsidRDefault="000A1684" w:rsidP="000A1684">
      <w:pPr>
        <w:tabs>
          <w:tab w:val="left" w:pos="956"/>
        </w:tabs>
        <w:rPr>
          <w:rFonts w:ascii="Times New Roman" w:hAnsi="Times New Roman" w:cs="Times New Roman"/>
          <w:sz w:val="28"/>
          <w:szCs w:val="28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A1684" w:rsidRDefault="000A1684" w:rsidP="000A1684">
      <w:pPr>
        <w:rPr>
          <w:sz w:val="2"/>
          <w:szCs w:val="2"/>
        </w:rPr>
      </w:pPr>
    </w:p>
    <w:p w:rsidR="000A1684" w:rsidRPr="00073B0D" w:rsidRDefault="000A1684" w:rsidP="00073B0D">
      <w:pPr>
        <w:rPr>
          <w:sz w:val="2"/>
          <w:szCs w:val="2"/>
        </w:rPr>
      </w:pPr>
    </w:p>
    <w:p w:rsidR="000A1684" w:rsidRPr="00073B0D" w:rsidRDefault="000A1684" w:rsidP="00073B0D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0A1684" w:rsidRDefault="000A1684">
      <w:pPr>
        <w:rPr>
          <w:sz w:val="2"/>
          <w:szCs w:val="2"/>
        </w:rPr>
      </w:pPr>
    </w:p>
    <w:p w:rsidR="000A1684" w:rsidRPr="00565DDA" w:rsidRDefault="000A1684">
      <w:pPr>
        <w:rPr>
          <w:sz w:val="28"/>
          <w:szCs w:val="28"/>
        </w:rPr>
      </w:pPr>
    </w:p>
    <w:sectPr w:rsidR="000A1684" w:rsidRPr="00565DDA" w:rsidSect="000A1684">
      <w:pgSz w:w="16838" w:h="11909" w:orient="landscape"/>
      <w:pgMar w:top="238" w:right="289" w:bottom="244" w:left="28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F9B" w:rsidRDefault="00186F9B">
      <w:r>
        <w:separator/>
      </w:r>
    </w:p>
  </w:endnote>
  <w:endnote w:type="continuationSeparator" w:id="0">
    <w:p w:rsidR="00186F9B" w:rsidRDefault="0018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F9B" w:rsidRDefault="00186F9B"/>
  </w:footnote>
  <w:footnote w:type="continuationSeparator" w:id="0">
    <w:p w:rsidR="00186F9B" w:rsidRDefault="00186F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5C0D"/>
    <w:multiLevelType w:val="multilevel"/>
    <w:tmpl w:val="47388C44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F1E67"/>
    <w:multiLevelType w:val="hybridMultilevel"/>
    <w:tmpl w:val="22D6D610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90DD7"/>
    <w:multiLevelType w:val="multilevel"/>
    <w:tmpl w:val="6BBED55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02992"/>
    <w:multiLevelType w:val="multilevel"/>
    <w:tmpl w:val="DD2A2412"/>
    <w:lvl w:ilvl="0">
      <w:start w:val="2"/>
      <w:numFmt w:val="decimal"/>
      <w:lvlText w:val="5.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6E33AD"/>
    <w:multiLevelType w:val="multilevel"/>
    <w:tmpl w:val="55620CAE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B42ADA"/>
    <w:multiLevelType w:val="multilevel"/>
    <w:tmpl w:val="6BC84CD4"/>
    <w:lvl w:ilvl="0">
      <w:start w:val="2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04826"/>
    <w:multiLevelType w:val="multilevel"/>
    <w:tmpl w:val="706A1A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%1.%2.%3.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5A1013"/>
    <w:multiLevelType w:val="multilevel"/>
    <w:tmpl w:val="BA3E8B74"/>
    <w:lvl w:ilvl="0">
      <w:start w:val="3"/>
      <w:numFmt w:val="decimal"/>
      <w:lvlText w:val="5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96D64"/>
    <w:multiLevelType w:val="multilevel"/>
    <w:tmpl w:val="EA6AA8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FC0975"/>
    <w:multiLevelType w:val="multilevel"/>
    <w:tmpl w:val="036CBC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086CB0"/>
    <w:multiLevelType w:val="multilevel"/>
    <w:tmpl w:val="EE54A6D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0F177B"/>
    <w:multiLevelType w:val="multilevel"/>
    <w:tmpl w:val="489AA1F4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1731D4"/>
    <w:multiLevelType w:val="multilevel"/>
    <w:tmpl w:val="ABDE1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3A0929"/>
    <w:multiLevelType w:val="multilevel"/>
    <w:tmpl w:val="6804FB8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351072"/>
    <w:multiLevelType w:val="multilevel"/>
    <w:tmpl w:val="6B562F1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7B050F"/>
    <w:multiLevelType w:val="multilevel"/>
    <w:tmpl w:val="6F6A960E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1E1F88"/>
    <w:multiLevelType w:val="multilevel"/>
    <w:tmpl w:val="C2E099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0773EF"/>
    <w:multiLevelType w:val="hybridMultilevel"/>
    <w:tmpl w:val="E05A57AC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9714B6"/>
    <w:multiLevelType w:val="multilevel"/>
    <w:tmpl w:val="8EBC2872"/>
    <w:lvl w:ilvl="0">
      <w:start w:val="3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5D4A79"/>
    <w:multiLevelType w:val="multilevel"/>
    <w:tmpl w:val="BDD40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196461D"/>
    <w:multiLevelType w:val="multilevel"/>
    <w:tmpl w:val="7456A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F86B92"/>
    <w:multiLevelType w:val="hybridMultilevel"/>
    <w:tmpl w:val="FBFC77CA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73D0B"/>
    <w:multiLevelType w:val="multilevel"/>
    <w:tmpl w:val="070231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2B7EFA"/>
    <w:multiLevelType w:val="hybridMultilevel"/>
    <w:tmpl w:val="31E0BE36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F74BA"/>
    <w:multiLevelType w:val="hybridMultilevel"/>
    <w:tmpl w:val="A7E0C072"/>
    <w:lvl w:ilvl="0" w:tplc="9F5AB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6"/>
  </w:num>
  <w:num w:numId="10">
    <w:abstractNumId w:val="11"/>
  </w:num>
  <w:num w:numId="11">
    <w:abstractNumId w:val="22"/>
  </w:num>
  <w:num w:numId="12">
    <w:abstractNumId w:val="0"/>
  </w:num>
  <w:num w:numId="13">
    <w:abstractNumId w:val="13"/>
  </w:num>
  <w:num w:numId="14">
    <w:abstractNumId w:val="20"/>
  </w:num>
  <w:num w:numId="15">
    <w:abstractNumId w:val="10"/>
  </w:num>
  <w:num w:numId="16">
    <w:abstractNumId w:val="14"/>
  </w:num>
  <w:num w:numId="17">
    <w:abstractNumId w:val="5"/>
  </w:num>
  <w:num w:numId="18">
    <w:abstractNumId w:val="18"/>
  </w:num>
  <w:num w:numId="19">
    <w:abstractNumId w:val="19"/>
  </w:num>
  <w:num w:numId="20">
    <w:abstractNumId w:val="2"/>
  </w:num>
  <w:num w:numId="21">
    <w:abstractNumId w:val="17"/>
  </w:num>
  <w:num w:numId="22">
    <w:abstractNumId w:val="21"/>
  </w:num>
  <w:num w:numId="23">
    <w:abstractNumId w:val="1"/>
  </w:num>
  <w:num w:numId="24">
    <w:abstractNumId w:val="24"/>
  </w:num>
  <w:num w:numId="25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ая Наталья Владимировна">
    <w15:presenceInfo w15:providerId="AD" w15:userId="S-1-5-21-578921006-2288858441-1423896827-2625"/>
  </w15:person>
  <w15:person w15:author="Лебедев Денис Александрович">
    <w15:presenceInfo w15:providerId="AD" w15:userId="S-1-5-21-578921006-2288858441-1423896827-22632"/>
  </w15:person>
  <w15:person w15:author="Кравцова Ольга Михайловна">
    <w15:presenceInfo w15:providerId="AD" w15:userId="S-1-5-21-578921006-2288858441-1423896827-57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72"/>
    <w:rsid w:val="00024623"/>
    <w:rsid w:val="000462AD"/>
    <w:rsid w:val="0004764B"/>
    <w:rsid w:val="00057523"/>
    <w:rsid w:val="00062865"/>
    <w:rsid w:val="000655E5"/>
    <w:rsid w:val="00067CCD"/>
    <w:rsid w:val="00073494"/>
    <w:rsid w:val="00073B0D"/>
    <w:rsid w:val="0007493B"/>
    <w:rsid w:val="000A1684"/>
    <w:rsid w:val="000B4FAE"/>
    <w:rsid w:val="000C0B3B"/>
    <w:rsid w:val="000C6B75"/>
    <w:rsid w:val="000D1AF5"/>
    <w:rsid w:val="000E34D3"/>
    <w:rsid w:val="0010441C"/>
    <w:rsid w:val="00117DAB"/>
    <w:rsid w:val="0014064A"/>
    <w:rsid w:val="00142B33"/>
    <w:rsid w:val="00186F9B"/>
    <w:rsid w:val="001965C7"/>
    <w:rsid w:val="001975F6"/>
    <w:rsid w:val="001D2082"/>
    <w:rsid w:val="00201507"/>
    <w:rsid w:val="002308FA"/>
    <w:rsid w:val="0025277A"/>
    <w:rsid w:val="00271111"/>
    <w:rsid w:val="00274D78"/>
    <w:rsid w:val="00276718"/>
    <w:rsid w:val="00285830"/>
    <w:rsid w:val="002A07EC"/>
    <w:rsid w:val="00303807"/>
    <w:rsid w:val="003257BE"/>
    <w:rsid w:val="003322DC"/>
    <w:rsid w:val="00333B08"/>
    <w:rsid w:val="00340978"/>
    <w:rsid w:val="00386BF2"/>
    <w:rsid w:val="003A366B"/>
    <w:rsid w:val="003B111F"/>
    <w:rsid w:val="003B27E4"/>
    <w:rsid w:val="003E4DFB"/>
    <w:rsid w:val="0041075F"/>
    <w:rsid w:val="00440547"/>
    <w:rsid w:val="00445103"/>
    <w:rsid w:val="004776B1"/>
    <w:rsid w:val="00482169"/>
    <w:rsid w:val="00484503"/>
    <w:rsid w:val="00491D25"/>
    <w:rsid w:val="004A01E1"/>
    <w:rsid w:val="004B140A"/>
    <w:rsid w:val="004E13C0"/>
    <w:rsid w:val="004F08AB"/>
    <w:rsid w:val="005026E0"/>
    <w:rsid w:val="005074D9"/>
    <w:rsid w:val="00547C73"/>
    <w:rsid w:val="00565DDA"/>
    <w:rsid w:val="005918B8"/>
    <w:rsid w:val="005B4494"/>
    <w:rsid w:val="005D268B"/>
    <w:rsid w:val="005D659A"/>
    <w:rsid w:val="00601CF5"/>
    <w:rsid w:val="00611092"/>
    <w:rsid w:val="00615B70"/>
    <w:rsid w:val="00622C40"/>
    <w:rsid w:val="00651046"/>
    <w:rsid w:val="006A15BF"/>
    <w:rsid w:val="006B0DDD"/>
    <w:rsid w:val="006B7835"/>
    <w:rsid w:val="006C03F4"/>
    <w:rsid w:val="006E7816"/>
    <w:rsid w:val="0070092D"/>
    <w:rsid w:val="0070129D"/>
    <w:rsid w:val="00710E19"/>
    <w:rsid w:val="0071727F"/>
    <w:rsid w:val="00724F9A"/>
    <w:rsid w:val="00730951"/>
    <w:rsid w:val="00736B50"/>
    <w:rsid w:val="00750116"/>
    <w:rsid w:val="00754F8F"/>
    <w:rsid w:val="00790AC2"/>
    <w:rsid w:val="00791892"/>
    <w:rsid w:val="007C1ABA"/>
    <w:rsid w:val="00816A62"/>
    <w:rsid w:val="00817496"/>
    <w:rsid w:val="00826964"/>
    <w:rsid w:val="00835839"/>
    <w:rsid w:val="00843220"/>
    <w:rsid w:val="008636B7"/>
    <w:rsid w:val="00873714"/>
    <w:rsid w:val="00883D75"/>
    <w:rsid w:val="00890501"/>
    <w:rsid w:val="008B3DC7"/>
    <w:rsid w:val="008B76B1"/>
    <w:rsid w:val="008C6F91"/>
    <w:rsid w:val="008D246C"/>
    <w:rsid w:val="008D4C44"/>
    <w:rsid w:val="008E6895"/>
    <w:rsid w:val="008F528D"/>
    <w:rsid w:val="00904619"/>
    <w:rsid w:val="00924A40"/>
    <w:rsid w:val="009376D5"/>
    <w:rsid w:val="0094477D"/>
    <w:rsid w:val="00965850"/>
    <w:rsid w:val="00994C29"/>
    <w:rsid w:val="009A1CD6"/>
    <w:rsid w:val="009B38AA"/>
    <w:rsid w:val="009C1740"/>
    <w:rsid w:val="009C1D00"/>
    <w:rsid w:val="009D503C"/>
    <w:rsid w:val="009E424E"/>
    <w:rsid w:val="009E462A"/>
    <w:rsid w:val="009F1AD0"/>
    <w:rsid w:val="00A15A24"/>
    <w:rsid w:val="00A16D51"/>
    <w:rsid w:val="00A365F8"/>
    <w:rsid w:val="00A4256C"/>
    <w:rsid w:val="00A75ACA"/>
    <w:rsid w:val="00A87C3B"/>
    <w:rsid w:val="00A97011"/>
    <w:rsid w:val="00AC42B0"/>
    <w:rsid w:val="00AC792D"/>
    <w:rsid w:val="00AD08D7"/>
    <w:rsid w:val="00AD41E6"/>
    <w:rsid w:val="00AF784B"/>
    <w:rsid w:val="00B00587"/>
    <w:rsid w:val="00B12588"/>
    <w:rsid w:val="00B52F87"/>
    <w:rsid w:val="00B6677C"/>
    <w:rsid w:val="00B70DA4"/>
    <w:rsid w:val="00B817F0"/>
    <w:rsid w:val="00BA2602"/>
    <w:rsid w:val="00BB1E65"/>
    <w:rsid w:val="00BB1FEF"/>
    <w:rsid w:val="00BC6607"/>
    <w:rsid w:val="00BD3019"/>
    <w:rsid w:val="00BE3E36"/>
    <w:rsid w:val="00BF016F"/>
    <w:rsid w:val="00BF6D4D"/>
    <w:rsid w:val="00C01BE5"/>
    <w:rsid w:val="00C151A4"/>
    <w:rsid w:val="00C55D8E"/>
    <w:rsid w:val="00C868F3"/>
    <w:rsid w:val="00CB21FC"/>
    <w:rsid w:val="00CC119C"/>
    <w:rsid w:val="00CC1E6D"/>
    <w:rsid w:val="00CD70AB"/>
    <w:rsid w:val="00CE6FB8"/>
    <w:rsid w:val="00CF70EE"/>
    <w:rsid w:val="00CF792A"/>
    <w:rsid w:val="00D112CA"/>
    <w:rsid w:val="00D254C6"/>
    <w:rsid w:val="00D34B20"/>
    <w:rsid w:val="00D364AF"/>
    <w:rsid w:val="00D43F1A"/>
    <w:rsid w:val="00D4645A"/>
    <w:rsid w:val="00D47424"/>
    <w:rsid w:val="00D61DA8"/>
    <w:rsid w:val="00D77DA3"/>
    <w:rsid w:val="00D95056"/>
    <w:rsid w:val="00DA14F7"/>
    <w:rsid w:val="00DE40E3"/>
    <w:rsid w:val="00DF0530"/>
    <w:rsid w:val="00DF36AC"/>
    <w:rsid w:val="00DF79C9"/>
    <w:rsid w:val="00E12E00"/>
    <w:rsid w:val="00E32D2A"/>
    <w:rsid w:val="00E40AAE"/>
    <w:rsid w:val="00E64690"/>
    <w:rsid w:val="00E73212"/>
    <w:rsid w:val="00E8526C"/>
    <w:rsid w:val="00E9441E"/>
    <w:rsid w:val="00EA10F1"/>
    <w:rsid w:val="00EC0AAA"/>
    <w:rsid w:val="00ED46EE"/>
    <w:rsid w:val="00EE7FFC"/>
    <w:rsid w:val="00EF053A"/>
    <w:rsid w:val="00F125DC"/>
    <w:rsid w:val="00F3461B"/>
    <w:rsid w:val="00F45A72"/>
    <w:rsid w:val="00F540B3"/>
    <w:rsid w:val="00F55604"/>
    <w:rsid w:val="00F60858"/>
    <w:rsid w:val="00F60938"/>
    <w:rsid w:val="00F633FB"/>
    <w:rsid w:val="00F66161"/>
    <w:rsid w:val="00F942E0"/>
    <w:rsid w:val="00FB3B26"/>
    <w:rsid w:val="00FB40A9"/>
    <w:rsid w:val="00FB5E11"/>
    <w:rsid w:val="00FC030D"/>
    <w:rsid w:val="00F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0pt0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30pt1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3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4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5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5pt0pt">
    <w:name w:val="Основной текст + 1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b">
    <w:name w:val="Колонтитул"/>
    <w:basedOn w:val="a"/>
    <w:link w:val="aa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styleId="ac">
    <w:name w:val="annotation reference"/>
    <w:basedOn w:val="a0"/>
    <w:uiPriority w:val="99"/>
    <w:semiHidden/>
    <w:unhideWhenUsed/>
    <w:rsid w:val="00F942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42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42E0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2E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42E0"/>
    <w:rPr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942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42E0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"/>
    <w:uiPriority w:val="34"/>
    <w:qFormat/>
    <w:rsid w:val="003257BE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2C40"/>
    <w:rPr>
      <w:color w:val="000000"/>
    </w:rPr>
  </w:style>
  <w:style w:type="paragraph" w:styleId="af6">
    <w:name w:val="footer"/>
    <w:basedOn w:val="a"/>
    <w:link w:val="af7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2C40"/>
    <w:rPr>
      <w:color w:val="000000"/>
    </w:rPr>
  </w:style>
  <w:style w:type="paragraph" w:styleId="af8">
    <w:name w:val="Revision"/>
    <w:hidden/>
    <w:uiPriority w:val="99"/>
    <w:semiHidden/>
    <w:rsid w:val="00340978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a4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0pt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30pt0">
    <w:name w:val="Основной текст (3) + 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</w:rPr>
  </w:style>
  <w:style w:type="character" w:customStyle="1" w:styleId="30pt1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0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1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0pt2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3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0pt4">
    <w:name w:val="Подпись к таблице + Полужирный;Курсив;Интервал 0 pt"/>
    <w:basedOn w:val="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20pt">
    <w:name w:val="Основной текст (2) + Полужирный;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pt0">
    <w:name w:val="Основной текст (2) + Не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5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9pt0pt">
    <w:name w:val="Основной текст + 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9pt0pt0">
    <w:name w:val="Основной текст + 9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15pt0pt">
    <w:name w:val="Основной текст + 1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CourierNew14pt-1pt">
    <w:name w:val="Основной текст + Courier New;14 pt;Интервал -1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-23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pt0pt0">
    <w:name w:val="Основной текст + 10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6pt0pt">
    <w:name w:val="Основной текст + 16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CourierNew4pt0pt">
    <w:name w:val="Основной текст + Courier New;4 pt;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1">
    <w:name w:val="Основной текст3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ind w:firstLine="38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299" w:lineRule="exact"/>
      <w:jc w:val="both"/>
      <w:outlineLvl w:val="0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  <w:ind w:hanging="740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ab">
    <w:name w:val="Колонтитул"/>
    <w:basedOn w:val="a"/>
    <w:link w:val="aa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styleId="ac">
    <w:name w:val="annotation reference"/>
    <w:basedOn w:val="a0"/>
    <w:uiPriority w:val="99"/>
    <w:semiHidden/>
    <w:unhideWhenUsed/>
    <w:rsid w:val="00F942E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42E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42E0"/>
    <w:rPr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2E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42E0"/>
    <w:rPr>
      <w:b/>
      <w:bCs/>
      <w:color w:val="000000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F942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942E0"/>
    <w:rPr>
      <w:rFonts w:ascii="Tahoma" w:hAnsi="Tahoma" w:cs="Tahoma"/>
      <w:color w:val="000000"/>
      <w:sz w:val="16"/>
      <w:szCs w:val="16"/>
    </w:rPr>
  </w:style>
  <w:style w:type="paragraph" w:styleId="af3">
    <w:name w:val="List Paragraph"/>
    <w:basedOn w:val="a"/>
    <w:uiPriority w:val="34"/>
    <w:qFormat/>
    <w:rsid w:val="003257BE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622C40"/>
    <w:rPr>
      <w:color w:val="000000"/>
    </w:rPr>
  </w:style>
  <w:style w:type="paragraph" w:styleId="af6">
    <w:name w:val="footer"/>
    <w:basedOn w:val="a"/>
    <w:link w:val="af7"/>
    <w:uiPriority w:val="99"/>
    <w:unhideWhenUsed/>
    <w:rsid w:val="00622C4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622C40"/>
    <w:rPr>
      <w:color w:val="000000"/>
    </w:rPr>
  </w:style>
  <w:style w:type="paragraph" w:styleId="af8">
    <w:name w:val="Revision"/>
    <w:hidden/>
    <w:uiPriority w:val="99"/>
    <w:semiHidden/>
    <w:rsid w:val="0034097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B85C-B203-4E4B-95E6-B1C6A880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2369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15847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Коврижкина Елена Юрьевна</cp:lastModifiedBy>
  <cp:revision>4</cp:revision>
  <cp:lastPrinted>2017-03-09T05:24:00Z</cp:lastPrinted>
  <dcterms:created xsi:type="dcterms:W3CDTF">2017-04-10T23:08:00Z</dcterms:created>
  <dcterms:modified xsi:type="dcterms:W3CDTF">2017-04-13T01:54:00Z</dcterms:modified>
</cp:coreProperties>
</file>