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3033F3" w:rsidRPr="00422087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724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67247">
        <w:rPr>
          <w:rFonts w:ascii="Times New Roman" w:hAnsi="Times New Roman" w:cs="Times New Roman"/>
          <w:sz w:val="24"/>
          <w:szCs w:val="24"/>
        </w:rPr>
        <w:t>.</w:t>
      </w:r>
      <w:r w:rsidR="0036724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67247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6724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="00367247">
        <w:rPr>
          <w:rFonts w:ascii="Times New Roman" w:hAnsi="Times New Roman" w:cs="Times New Roman"/>
          <w:sz w:val="24"/>
          <w:szCs w:val="24"/>
        </w:rPr>
        <w:t xml:space="preserve">  </w:t>
      </w:r>
      <w:r w:rsidR="00512B37" w:rsidRPr="0036724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C7C64" w:rsidRPr="00367247">
        <w:rPr>
          <w:rFonts w:ascii="Times New Roman" w:hAnsi="Times New Roman" w:cs="Times New Roman"/>
          <w:sz w:val="24"/>
          <w:szCs w:val="24"/>
        </w:rPr>
        <w:t xml:space="preserve">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367247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367247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367247">
        <w:t xml:space="preserve">директора филиала АО «ДРСК» «Амурские электрические сети» </w:t>
      </w:r>
      <w:proofErr w:type="spellStart"/>
      <w:r w:rsidR="00367247" w:rsidRPr="00367247">
        <w:rPr>
          <w:b/>
        </w:rPr>
        <w:t>Семенюка</w:t>
      </w:r>
      <w:proofErr w:type="spellEnd"/>
      <w:r w:rsidR="00367247" w:rsidRPr="00367247">
        <w:rPr>
          <w:b/>
        </w:rPr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367247">
        <w:t xml:space="preserve">01.01.2017 </w:t>
      </w:r>
      <w:r w:rsidR="00B5715B" w:rsidRPr="00422087">
        <w:t xml:space="preserve">г. № </w:t>
      </w:r>
      <w:r w:rsidR="00367247">
        <w:t>15</w:t>
      </w:r>
      <w:r w:rsidR="00B5715B" w:rsidRPr="00422087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="00B5715B" w:rsidRPr="00422087">
        <w:t xml:space="preserve">тороны», </w:t>
      </w:r>
      <w:r w:rsidR="00CB6FE0" w:rsidRPr="00367247">
        <w:rPr>
          <w:iCs/>
        </w:rPr>
        <w:t>по результатам проведенной регламентированной процедуры закупки способом</w:t>
      </w:r>
      <w:proofErr w:type="gramEnd"/>
      <w:r w:rsidR="00CB6FE0" w:rsidRPr="00367247">
        <w:rPr>
          <w:iCs/>
        </w:rPr>
        <w:t xml:space="preserve"> </w:t>
      </w:r>
      <w:r w:rsidR="00367247" w:rsidRPr="00367247">
        <w:rPr>
          <w:iCs/>
        </w:rPr>
        <w:t>– открытый запрос предложений</w:t>
      </w:r>
      <w:r w:rsidR="00CB6FE0" w:rsidRPr="00367247">
        <w:rPr>
          <w:iCs/>
        </w:rPr>
        <w:t xml:space="preserve"> (протокол заседания закупочной комиссии </w:t>
      </w:r>
      <w:proofErr w:type="gramStart"/>
      <w:r w:rsidR="00CB6FE0" w:rsidRPr="00367247">
        <w:rPr>
          <w:iCs/>
        </w:rPr>
        <w:t>от</w:t>
      </w:r>
      <w:proofErr w:type="gramEnd"/>
      <w:r w:rsidR="00CB6FE0" w:rsidRPr="00367247">
        <w:rPr>
          <w:iCs/>
        </w:rPr>
        <w:t xml:space="preserve"> ________ №______)</w:t>
      </w:r>
      <w:r w:rsidR="00367247" w:rsidRPr="00367247">
        <w:rPr>
          <w:iCs/>
        </w:rPr>
        <w:t xml:space="preserve"> </w:t>
      </w:r>
      <w:r w:rsidR="00B5715B" w:rsidRPr="0036724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111D04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 xml:space="preserve">ПИР Строительство ПС 35 </w:t>
      </w:r>
      <w:proofErr w:type="spellStart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 xml:space="preserve"> КC-6 с двумя </w:t>
      </w:r>
      <w:proofErr w:type="spellStart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>одноцепными</w:t>
      </w:r>
      <w:proofErr w:type="spellEnd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>ВЛ</w:t>
      </w:r>
      <w:proofErr w:type="gramEnd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 xml:space="preserve"> 35 </w:t>
      </w:r>
      <w:proofErr w:type="spellStart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11D04" w:rsidRPr="00111D04">
        <w:rPr>
          <w:rFonts w:ascii="Times New Roman" w:hAnsi="Times New Roman" w:cs="Times New Roman"/>
          <w:b/>
          <w:i/>
          <w:sz w:val="24"/>
          <w:szCs w:val="24"/>
        </w:rPr>
        <w:t xml:space="preserve"> Сковородино-КС-6 , филиал АЭС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367247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1C26D2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C26D2">
        <w:rPr>
          <w:rFonts w:ascii="Times New Roman" w:hAnsi="Times New Roman" w:cs="Times New Roman"/>
          <w:sz w:val="24"/>
          <w:szCs w:val="24"/>
        </w:rPr>
        <w:t>Календарным планом работ (</w:t>
      </w:r>
      <w:r w:rsidR="00052A33" w:rsidRPr="00422087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ем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C26D2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C26D2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111D0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1C26D2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</w:t>
      </w:r>
      <w:bookmarkStart w:id="0" w:name="_GoBack"/>
      <w:bookmarkEnd w:id="0"/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1C26D2">
        <w:t xml:space="preserve"> 3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942115" w:rsidRPr="00422087" w:rsidRDefault="00942115" w:rsidP="001C26D2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1C26D2">
        <w:t xml:space="preserve"> </w:t>
      </w:r>
      <w:r w:rsidR="001C26D2" w:rsidRPr="00D67102">
        <w:t>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r w:rsidR="001C26D2" w:rsidRPr="001C26D2">
        <w:rPr>
          <w:i/>
        </w:rPr>
        <w:t>(</w:t>
      </w:r>
      <w:r w:rsidR="001C26D2" w:rsidRPr="00422087">
        <w:rPr>
          <w:i/>
        </w:rPr>
        <w:t>30 (тридцати) календарных дней</w:t>
      </w:r>
      <w:r w:rsidR="001C26D2" w:rsidRPr="00422087">
        <w:rPr>
          <w:b/>
          <w:i/>
          <w:color w:val="0000FF"/>
        </w:rPr>
        <w:t xml:space="preserve"> </w:t>
      </w:r>
      <w:r w:rsidR="001C26D2">
        <w:rPr>
          <w:i/>
          <w:iCs/>
        </w:rPr>
        <w:t>- в</w:t>
      </w:r>
      <w:r w:rsidR="001C26D2" w:rsidRPr="001C26D2">
        <w:rPr>
          <w:i/>
          <w:iCs/>
        </w:rPr>
        <w:t xml:space="preserve"> случае заключения договора с субъектом малого и среднего предпринимательства</w:t>
      </w:r>
      <w:r w:rsidR="001C26D2">
        <w:rPr>
          <w:i/>
          <w:iCs/>
        </w:rPr>
        <w:t xml:space="preserve">)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</w:t>
      </w:r>
      <w:r w:rsidR="00BB294F" w:rsidRPr="00422087">
        <w:lastRenderedPageBreak/>
        <w:t xml:space="preserve">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1C26D2">
        <w:t>по последнему этапу</w:t>
      </w:r>
      <w:r w:rsidR="00BB294F" w:rsidRPr="001C26D2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AB78E2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D67102" w:rsidRDefault="008F3E2F" w:rsidP="00AB78E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AB78E2" w:rsidRPr="00CE0A6D">
        <w:rPr>
          <w:sz w:val="26"/>
          <w:szCs w:val="26"/>
        </w:rPr>
        <w:t>ГАУ «</w:t>
      </w:r>
      <w:proofErr w:type="spellStart"/>
      <w:r w:rsidR="00AB78E2" w:rsidRPr="00CE0A6D">
        <w:rPr>
          <w:sz w:val="26"/>
          <w:szCs w:val="26"/>
        </w:rPr>
        <w:t>Амургосэкспертиза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  <w:r w:rsidR="00C9457B" w:rsidRPr="00422087">
        <w:t xml:space="preserve">Обеспечительный платеж выплачивается в течение 60 (шестидесяти) календарных дней </w:t>
      </w:r>
      <w:proofErr w:type="gramStart"/>
      <w:r w:rsidR="00C9457B" w:rsidRPr="00422087">
        <w:t>с даты подписания</w:t>
      </w:r>
      <w:proofErr w:type="gramEnd"/>
      <w:r w:rsidR="00C9457B" w:rsidRPr="00422087">
        <w:t xml:space="preserve"> сторонами акта сдачи-приемки работ по Договору по последнему этапу работ на разработку проектной документации  в отношении каждого проекта по Договору</w:t>
      </w:r>
      <w:r w:rsidR="009408C3" w:rsidRPr="00422087">
        <w:t xml:space="preserve"> </w:t>
      </w:r>
      <w:r w:rsidR="009408C3" w:rsidRPr="00AB78E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</w:t>
      </w:r>
      <w:r w:rsidR="00C9457B" w:rsidRPr="00AB78E2">
        <w:t>.</w:t>
      </w:r>
    </w:p>
    <w:p w:rsidR="00DA7CE7" w:rsidRPr="00D67102" w:rsidRDefault="00DA7CE7" w:rsidP="00D6710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D67102">
        <w:rPr>
          <w:i/>
        </w:rPr>
        <w:t>(по договорам с СМП – не менее 5 (пяти))</w:t>
      </w:r>
      <w:r w:rsidRPr="00D67102">
        <w:t xml:space="preserve"> </w:t>
      </w:r>
      <w:r w:rsidRPr="00422087">
        <w:t>процентов от цены Договора/цены разработки проектной документации в отношении каждого проекта и выплачивает Подрядчику в течение 60 (шестидесяти)</w:t>
      </w:r>
      <w:r w:rsidRPr="00D67102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в целом / по последнему этапу работ в отношении каждого проекта по Договору</w:t>
      </w:r>
      <w:proofErr w:type="gramEnd"/>
      <w:r w:rsidRPr="00422087">
        <w:t xml:space="preserve">, на основании счета выставленного Подрядчиком </w:t>
      </w:r>
      <w:r w:rsidRPr="00D6710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D67102" w:rsidRDefault="00512B37" w:rsidP="00D6710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102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с</w:t>
      </w:r>
      <w:r w:rsidR="00D67102" w:rsidRPr="00D6710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по</w:t>
      </w:r>
      <w:r w:rsidR="00D67102">
        <w:rPr>
          <w:rFonts w:ascii="Times New Roman" w:hAnsi="Times New Roman" w:cs="Times New Roman"/>
          <w:sz w:val="24"/>
          <w:szCs w:val="24"/>
        </w:rPr>
        <w:t xml:space="preserve"> </w:t>
      </w:r>
      <w:r w:rsidR="00D67102" w:rsidRPr="00D67102">
        <w:rPr>
          <w:rFonts w:ascii="Times New Roman" w:hAnsi="Times New Roman" w:cs="Times New Roman"/>
          <w:b/>
          <w:sz w:val="24"/>
          <w:szCs w:val="24"/>
        </w:rPr>
        <w:t xml:space="preserve">«31» декабря 2017 </w:t>
      </w:r>
      <w:r w:rsidR="003A558B" w:rsidRPr="00D67102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D67102">
        <w:rPr>
          <w:rFonts w:ascii="Times New Roman" w:hAnsi="Times New Roman" w:cs="Times New Roman"/>
          <w:sz w:val="24"/>
          <w:szCs w:val="24"/>
        </w:rPr>
        <w:t xml:space="preserve"> П</w:t>
      </w:r>
      <w:r w:rsidRPr="00D67102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D67102">
        <w:rPr>
          <w:rFonts w:ascii="Times New Roman" w:hAnsi="Times New Roman" w:cs="Times New Roman"/>
          <w:sz w:val="24"/>
          <w:szCs w:val="24"/>
        </w:rPr>
        <w:t>о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D67102">
        <w:rPr>
          <w:rFonts w:ascii="Times New Roman" w:hAnsi="Times New Roman" w:cs="Times New Roman"/>
          <w:sz w:val="24"/>
          <w:szCs w:val="24"/>
        </w:rPr>
        <w:t>(</w:t>
      </w:r>
      <w:r w:rsidR="00A81DCE" w:rsidRPr="00D6710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67102">
        <w:rPr>
          <w:rFonts w:ascii="Times New Roman" w:hAnsi="Times New Roman" w:cs="Times New Roman"/>
          <w:sz w:val="24"/>
          <w:szCs w:val="24"/>
        </w:rPr>
        <w:t>2</w:t>
      </w:r>
      <w:r w:rsidRPr="00D67102">
        <w:rPr>
          <w:rFonts w:ascii="Times New Roman" w:hAnsi="Times New Roman" w:cs="Times New Roman"/>
          <w:sz w:val="24"/>
          <w:szCs w:val="24"/>
        </w:rPr>
        <w:t>)</w:t>
      </w:r>
      <w:r w:rsidR="00E205A7" w:rsidRPr="00D67102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4206E2" w:rsidP="00D6710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00492" w:rsidP="00D67102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67102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="00512B37"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D67102">
        <w:rPr>
          <w:rFonts w:ascii="Times New Roman" w:hAnsi="Times New Roman" w:cs="Times New Roman"/>
          <w:sz w:val="24"/>
          <w:szCs w:val="24"/>
        </w:rPr>
        <w:t xml:space="preserve"> 7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D67102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(</w:t>
      </w:r>
      <w:r w:rsidR="00D67102">
        <w:rPr>
          <w:rFonts w:ascii="Times New Roman" w:hAnsi="Times New Roman" w:cs="Times New Roman"/>
          <w:sz w:val="24"/>
          <w:szCs w:val="24"/>
        </w:rPr>
        <w:t>трёх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D67102">
        <w:rPr>
          <w:rFonts w:ascii="Times New Roman" w:hAnsi="Times New Roman" w:cs="Times New Roman"/>
          <w:sz w:val="24"/>
          <w:szCs w:val="24"/>
        </w:rPr>
        <w:t>о</w:t>
      </w:r>
      <w:r w:rsidR="00CA39F7" w:rsidRPr="00422087">
        <w:rPr>
          <w:rFonts w:ascii="Times New Roman" w:hAnsi="Times New Roman" w:cs="Times New Roman"/>
          <w:sz w:val="24"/>
          <w:szCs w:val="24"/>
        </w:rPr>
        <w:t>дн</w:t>
      </w:r>
      <w:r w:rsidR="00D67102">
        <w:rPr>
          <w:rFonts w:ascii="Times New Roman" w:hAnsi="Times New Roman" w:cs="Times New Roman"/>
          <w:sz w:val="24"/>
          <w:szCs w:val="24"/>
        </w:rPr>
        <w:t>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D67102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Pr="00422087">
        <w:rPr>
          <w:rFonts w:ascii="Times New Roman" w:hAnsi="Times New Roman" w:cs="Times New Roman"/>
          <w:sz w:val="24"/>
          <w:szCs w:val="24"/>
        </w:rPr>
        <w:t>1 (о</w:t>
      </w:r>
      <w:r w:rsidR="00512B37"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D67102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 xml:space="preserve">работ либо направить </w:t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>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22087" w:rsidRDefault="00512B37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5242FA" w:rsidRPr="00422087">
        <w:rPr>
          <w:rFonts w:ascii="Times New Roman" w:hAnsi="Times New Roman" w:cs="Times New Roman"/>
          <w:sz w:val="24"/>
          <w:szCs w:val="24"/>
        </w:rPr>
        <w:t>за свой счет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переделать</w:t>
      </w:r>
      <w:r w:rsidR="005D6940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42208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2B17" w:rsidRPr="00422087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D67102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выполнения работ </w:t>
      </w:r>
      <w:r w:rsidRPr="00D67102">
        <w:t>по этапам является дата подписания  Заказчиком акта сдачи-приемки работ по этапу.</w:t>
      </w:r>
    </w:p>
    <w:p w:rsidR="00B55F85" w:rsidRPr="00422087" w:rsidRDefault="00B55F85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исполнения обязательств Подрядчика по Договору в целом является дата </w:t>
      </w:r>
      <w:proofErr w:type="gramStart"/>
      <w:r w:rsidRPr="00422087">
        <w:t xml:space="preserve">подписания акта сдачи-приемки работ </w:t>
      </w:r>
      <w:r w:rsidRPr="00D67102">
        <w:t>последнего этапа</w:t>
      </w:r>
      <w:proofErr w:type="gramEnd"/>
      <w:r w:rsidRPr="00D67102"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D67102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D67102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</w:t>
      </w:r>
      <w:r w:rsidR="00D67102">
        <w:rPr>
          <w:b w:val="0"/>
          <w:sz w:val="24"/>
          <w:szCs w:val="24"/>
        </w:rPr>
        <w:t>,</w:t>
      </w:r>
      <w:r w:rsidRPr="00422087">
        <w:rPr>
          <w:b w:val="0"/>
          <w:sz w:val="24"/>
          <w:szCs w:val="24"/>
        </w:rPr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D67102">
        <w:t xml:space="preserve"> 2</w:t>
      </w:r>
      <w:r w:rsidRPr="00422087">
        <w:t xml:space="preserve"> к настоящему Договору) с указанными в нем </w:t>
      </w:r>
      <w:r w:rsidRPr="00D67102">
        <w:t>этапами и</w:t>
      </w:r>
      <w:r w:rsidRPr="00D67102">
        <w:rPr>
          <w:b/>
        </w:rPr>
        <w:t xml:space="preserve"> </w:t>
      </w:r>
      <w:r w:rsidRPr="00422087">
        <w:t xml:space="preserve">сроками 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D67102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D67102">
        <w:t xml:space="preserve">ий, отвечающих признакам «фирм-однодневок» </w:t>
      </w:r>
      <w:r w:rsidR="00E617CC" w:rsidRPr="00422087">
        <w:t>по форме</w:t>
      </w:r>
      <w:r w:rsidR="00D67102">
        <w:t>,</w:t>
      </w:r>
      <w:r w:rsidR="00E617CC" w:rsidRPr="00422087">
        <w:t xml:space="preserve"> согласно приложению №</w:t>
      </w:r>
      <w:r w:rsidR="00D67102">
        <w:t xml:space="preserve"> 5</w:t>
      </w:r>
      <w:r w:rsidR="00E617CC" w:rsidRPr="00422087">
        <w:t xml:space="preserve"> к договору</w:t>
      </w:r>
      <w:r w:rsidR="00D67102">
        <w:t>.</w:t>
      </w:r>
    </w:p>
    <w:p w:rsidR="006C46EE" w:rsidRPr="00422087" w:rsidRDefault="00E617C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Осуществлять </w:t>
      </w:r>
      <w:proofErr w:type="gramStart"/>
      <w:r w:rsidR="00FD04B5" w:rsidRPr="00422087">
        <w:t>контроль за</w:t>
      </w:r>
      <w:proofErr w:type="gramEnd"/>
      <w:r w:rsidR="00FD04B5"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422087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8F2EB3" w:rsidRDefault="000D6A7F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8F2EB3">
        <w:t>экспертизы.</w:t>
      </w:r>
    </w:p>
    <w:p w:rsidR="006C46EE" w:rsidRPr="00422087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D67102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A1ED4" w:rsidP="00D6710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851"/>
        <w:jc w:val="both"/>
        <w:rPr>
          <w:b/>
          <w:i/>
        </w:rPr>
      </w:pPr>
      <w:r w:rsidRPr="00422087">
        <w:t xml:space="preserve">4.1.17. </w:t>
      </w:r>
      <w:r w:rsidR="00512B37" w:rsidRPr="00422087">
        <w:rPr>
          <w:b/>
          <w:i/>
        </w:rPr>
        <w:t>Заказчик обязан:</w:t>
      </w:r>
    </w:p>
    <w:p w:rsidR="00D92319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D67102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>В случае нарушения Заказчиком сроков оплаты результато</w:t>
      </w:r>
      <w:r w:rsidR="008F2EB3">
        <w:t>в выполненных и принятых работ П</w:t>
      </w:r>
      <w:r w:rsidRPr="00422087">
        <w:t>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F822F9" w:rsidP="008F2EB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Default="008F2EB3" w:rsidP="008F2EB3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5.5. </w:t>
      </w:r>
      <w:r w:rsidR="004E36C8" w:rsidRPr="00422087">
        <w:t xml:space="preserve">В случае нарушения </w:t>
      </w:r>
      <w:r w:rsidR="005100F0" w:rsidRPr="00422087">
        <w:t>П</w:t>
      </w:r>
      <w:r w:rsidR="004E36C8"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Default="008F2EB3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r w:rsidR="00060D7C" w:rsidRPr="00422087">
        <w:t>Удержание пени, штрафов и денежных средств, указанных в п. 4.1.1</w:t>
      </w:r>
      <w:r w:rsidR="00B52F9D" w:rsidRPr="00422087">
        <w:t>5</w:t>
      </w:r>
      <w:r w:rsidR="00060D7C"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8F2EB3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proofErr w:type="gramStart"/>
      <w:r w:rsidR="00D20E4B"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D20E4B" w:rsidRPr="008F2EB3">
        <w:rPr>
          <w:bCs/>
        </w:rPr>
        <w:t xml:space="preserve"> реконструируемого </w:t>
      </w:r>
      <w:r w:rsidR="00D20E4B" w:rsidRPr="00422087">
        <w:t xml:space="preserve">на основании такой проектной документации </w:t>
      </w:r>
      <w:r w:rsidR="00D20E4B" w:rsidRPr="008F2EB3">
        <w:rPr>
          <w:bCs/>
        </w:rPr>
        <w:t xml:space="preserve">и т.д., </w:t>
      </w:r>
      <w:r w:rsidR="00D20E4B" w:rsidRPr="00422087">
        <w:t>Подрядчик по требованию Заказчика обязан за свой</w:t>
      </w:r>
      <w:proofErr w:type="gramEnd"/>
      <w:r w:rsidR="00D20E4B" w:rsidRPr="00422087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Default="00A9765F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Default="00F822F9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</w:t>
      </w:r>
      <w:r w:rsidRPr="00422087">
        <w:lastRenderedPageBreak/>
        <w:t xml:space="preserve">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422087">
        <w:t>с даты получения</w:t>
      </w:r>
      <w:proofErr w:type="gramEnd"/>
      <w:r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</w:t>
      </w:r>
      <w:proofErr w:type="gramStart"/>
      <w:r w:rsidRPr="00422087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422087">
        <w:rPr>
          <w:i/>
          <w:iCs/>
        </w:rPr>
        <w:t>(указать нужное) строительства, реконструкции</w:t>
      </w:r>
      <w:r w:rsidRPr="00422087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  <w:proofErr w:type="gramEnd"/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</w:t>
      </w:r>
      <w:proofErr w:type="gramStart"/>
      <w:r w:rsidRPr="00422087">
        <w:t xml:space="preserve">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</w:t>
      </w:r>
      <w:proofErr w:type="gramEnd"/>
      <w:r w:rsidRPr="00422087">
        <w:t xml:space="preserve">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</w:t>
      </w:r>
      <w:r w:rsidR="00394326" w:rsidRPr="00422087">
        <w:lastRenderedPageBreak/>
        <w:t>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1C26D2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1C26D2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1C26D2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lastRenderedPageBreak/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8B1A1E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1C26D2">
        <w:rPr>
          <w:rFonts w:ascii="Times New Roman" w:hAnsi="Times New Roman" w:cs="Times New Roman"/>
          <w:b/>
          <w:sz w:val="24"/>
          <w:szCs w:val="24"/>
        </w:rPr>
        <w:t>«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31</w:t>
      </w:r>
      <w:r w:rsidRPr="001C26D2">
        <w:rPr>
          <w:rFonts w:ascii="Times New Roman" w:hAnsi="Times New Roman" w:cs="Times New Roman"/>
          <w:b/>
          <w:sz w:val="24"/>
          <w:szCs w:val="24"/>
        </w:rPr>
        <w:t>»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1C26D2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1C26D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1C26D2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6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D67102">
        <w:t xml:space="preserve"> 7</w:t>
      </w:r>
      <w:r w:rsidRPr="00422087">
        <w:t xml:space="preserve"> «Акт сдачи-приемки работ».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8F2EB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8F2EB3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Pr="00422087">
        <w:rPr>
          <w:color w:val="000000" w:themeColor="text1"/>
          <w:spacing w:val="-1"/>
        </w:rPr>
        <w:t>К/с 30101810600000000608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2EB3" w:rsidRPr="00422087" w:rsidRDefault="008F2EB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Default="00D43731" w:rsidP="008F2EB3">
            <w:pPr>
              <w:tabs>
                <w:tab w:val="left" w:pos="1701"/>
              </w:tabs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453A47">
              <w:rPr>
                <w:b/>
                <w:bCs/>
              </w:rPr>
              <w:t>иректор филиала  АО «ДРСК» -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8F2EB3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 Е</w:t>
            </w:r>
            <w:r w:rsidRPr="00453A47">
              <w:rPr>
                <w:b/>
                <w:bCs/>
              </w:rPr>
              <w:t>.</w:t>
            </w:r>
            <w:r>
              <w:rPr>
                <w:b/>
                <w:bCs/>
              </w:rPr>
              <w:t>В</w:t>
            </w:r>
            <w:r w:rsidRPr="00453A47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Семенюк</w:t>
            </w:r>
            <w:proofErr w:type="spellEnd"/>
          </w:p>
          <w:p w:rsidR="008F2EB3" w:rsidRPr="00422087" w:rsidRDefault="008F2EB3" w:rsidP="008F2EB3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8F2EB3">
        <w:t>1</w:t>
      </w:r>
      <w:r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8F2EB3">
        <w:t xml:space="preserve">17 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8F2EB3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8F2EB3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422087" w:rsidTr="007F5E80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spellStart"/>
            <w:r w:rsidRPr="0042208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 xml:space="preserve">Приложение № </w:t>
            </w:r>
            <w:r w:rsidR="00CF2169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CF2169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  <w:ind w:firstLine="851"/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>Приложение №</w:t>
            </w:r>
            <w:r w:rsidR="00CF2169">
              <w:t xml:space="preserve"> 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CF2169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CF2169">
              <w:t>17</w:t>
            </w:r>
            <w:r w:rsidRPr="00422087">
              <w:t xml:space="preserve">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CF2169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CF2169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CF2169">
        <w:t xml:space="preserve"> 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CF2169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422087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CF2169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CF2169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422087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422087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CF2169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Pr="00422087">
              <w:rPr>
                <w:b/>
                <w:i/>
                <w:color w:val="0000FF"/>
                <w:sz w:val="22"/>
                <w:szCs w:val="22"/>
              </w:rPr>
              <w:t>по этапу _________</w:t>
            </w:r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E3A" w:rsidRDefault="00764E3A" w:rsidP="00811A71">
      <w:r>
        <w:separator/>
      </w:r>
    </w:p>
  </w:endnote>
  <w:endnote w:type="continuationSeparator" w:id="0">
    <w:p w:rsidR="00764E3A" w:rsidRDefault="00764E3A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E3A" w:rsidRDefault="00764E3A" w:rsidP="00811A71">
      <w:r>
        <w:separator/>
      </w:r>
    </w:p>
  </w:footnote>
  <w:footnote w:type="continuationSeparator" w:id="0">
    <w:p w:rsidR="00764E3A" w:rsidRDefault="00764E3A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947A9E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3F0F53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69C446B0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5"/>
  </w:num>
  <w:num w:numId="7">
    <w:abstractNumId w:val="14"/>
  </w:num>
  <w:num w:numId="8">
    <w:abstractNumId w:val="8"/>
  </w:num>
  <w:num w:numId="9">
    <w:abstractNumId w:val="21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4"/>
  </w:num>
  <w:num w:numId="14">
    <w:abstractNumId w:val="3"/>
  </w:num>
  <w:num w:numId="15">
    <w:abstractNumId w:val="13"/>
  </w:num>
  <w:num w:numId="16">
    <w:abstractNumId w:val="9"/>
  </w:num>
  <w:num w:numId="17">
    <w:abstractNumId w:val="16"/>
  </w:num>
  <w:num w:numId="18">
    <w:abstractNumId w:val="0"/>
  </w:num>
  <w:num w:numId="19">
    <w:abstractNumId w:val="22"/>
  </w:num>
  <w:num w:numId="20">
    <w:abstractNumId w:val="19"/>
  </w:num>
  <w:num w:numId="21">
    <w:abstractNumId w:val="6"/>
  </w:num>
  <w:num w:numId="22">
    <w:abstractNumId w:val="4"/>
  </w:num>
  <w:num w:numId="23">
    <w:abstractNumId w:val="25"/>
  </w:num>
  <w:num w:numId="24">
    <w:abstractNumId w:val="2"/>
  </w:num>
  <w:num w:numId="25">
    <w:abstractNumId w:val="11"/>
  </w:num>
  <w:num w:numId="26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11D04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26D2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516A5"/>
    <w:rsid w:val="00351C1F"/>
    <w:rsid w:val="00360882"/>
    <w:rsid w:val="00363035"/>
    <w:rsid w:val="00367247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4E3A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2EB3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B78E2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20D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169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67102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F7740-67A3-4808-B39A-7AEA00A4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6761</Words>
  <Characters>38542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45213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4</cp:revision>
  <cp:lastPrinted>2015-08-26T02:06:00Z</cp:lastPrinted>
  <dcterms:created xsi:type="dcterms:W3CDTF">2017-03-27T04:28:00Z</dcterms:created>
  <dcterms:modified xsi:type="dcterms:W3CDTF">2017-03-27T05:22:00Z</dcterms:modified>
</cp:coreProperties>
</file>