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CB" w:rsidRPr="00FA28CB" w:rsidRDefault="00FA28CB" w:rsidP="00FA28CB">
      <w:pPr>
        <w:widowControl w:val="0"/>
        <w:shd w:val="clear" w:color="auto" w:fill="FFFFFF"/>
        <w:autoSpaceDE w:val="0"/>
        <w:autoSpaceDN w:val="0"/>
        <w:adjustRightInd w:val="0"/>
        <w:spacing w:after="0" w:line="305" w:lineRule="exact"/>
        <w:ind w:right="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237382D" wp14:editId="7B7311FA">
            <wp:simplePos x="0" y="0"/>
            <wp:positionH relativeFrom="column">
              <wp:posOffset>2509520</wp:posOffset>
            </wp:positionH>
            <wp:positionV relativeFrom="paragraph">
              <wp:posOffset>-41347</wp:posOffset>
            </wp:positionV>
            <wp:extent cx="981075" cy="8001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8CB" w:rsidRPr="00FA28CB" w:rsidRDefault="00FA28CB" w:rsidP="00FA28CB">
      <w:pPr>
        <w:widowControl w:val="0"/>
        <w:shd w:val="clear" w:color="auto" w:fill="FFFFFF"/>
        <w:autoSpaceDE w:val="0"/>
        <w:autoSpaceDN w:val="0"/>
        <w:adjustRightInd w:val="0"/>
        <w:spacing w:after="0" w:line="305" w:lineRule="exact"/>
        <w:ind w:right="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A28CB" w:rsidRPr="00FA28CB" w:rsidRDefault="00FA28CB" w:rsidP="00FA28CB">
      <w:pPr>
        <w:widowControl w:val="0"/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 w:line="305" w:lineRule="exact"/>
        <w:ind w:right="7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A28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733A3D" w:rsidRDefault="00733A3D" w:rsidP="00FA28CB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288"/>
        <w:jc w:val="center"/>
        <w:outlineLvl w:val="2"/>
        <w:rPr>
          <w:rFonts w:ascii="Times New Roman" w:eastAsia="Times New Roman" w:hAnsi="Times New Roman" w:cs="Times New Roman"/>
          <w:b/>
          <w:color w:val="000000"/>
          <w:spacing w:val="-13"/>
          <w:sz w:val="26"/>
          <w:szCs w:val="20"/>
          <w:lang w:eastAsia="x-none"/>
        </w:rPr>
      </w:pPr>
    </w:p>
    <w:p w:rsidR="00FA28CB" w:rsidRPr="00FA28CB" w:rsidRDefault="00FA28CB" w:rsidP="00FA28CB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288"/>
        <w:jc w:val="center"/>
        <w:outlineLvl w:val="2"/>
        <w:rPr>
          <w:rFonts w:ascii="Times New Roman" w:eastAsia="Times New Roman" w:hAnsi="Times New Roman" w:cs="Times New Roman"/>
          <w:b/>
          <w:color w:val="000000"/>
          <w:spacing w:val="-13"/>
          <w:sz w:val="26"/>
          <w:szCs w:val="20"/>
          <w:lang w:val="x-none" w:eastAsia="x-none"/>
        </w:rPr>
      </w:pPr>
      <w:r w:rsidRPr="00FA28CB">
        <w:rPr>
          <w:rFonts w:ascii="Times New Roman" w:eastAsia="Times New Roman" w:hAnsi="Times New Roman" w:cs="Times New Roman"/>
          <w:b/>
          <w:color w:val="000000"/>
          <w:spacing w:val="-13"/>
          <w:sz w:val="26"/>
          <w:szCs w:val="20"/>
          <w:lang w:eastAsia="x-none"/>
        </w:rPr>
        <w:t>А</w:t>
      </w:r>
      <w:proofErr w:type="spellStart"/>
      <w:r w:rsidRPr="00FA28CB">
        <w:rPr>
          <w:rFonts w:ascii="Times New Roman" w:eastAsia="Times New Roman" w:hAnsi="Times New Roman" w:cs="Times New Roman"/>
          <w:b/>
          <w:color w:val="000000"/>
          <w:spacing w:val="-13"/>
          <w:sz w:val="26"/>
          <w:szCs w:val="20"/>
          <w:lang w:val="x-none" w:eastAsia="x-none"/>
        </w:rPr>
        <w:t>кционерное</w:t>
      </w:r>
      <w:proofErr w:type="spellEnd"/>
      <w:r w:rsidRPr="00FA28CB">
        <w:rPr>
          <w:rFonts w:ascii="Times New Roman" w:eastAsia="Times New Roman" w:hAnsi="Times New Roman" w:cs="Times New Roman"/>
          <w:b/>
          <w:color w:val="000000"/>
          <w:spacing w:val="-13"/>
          <w:sz w:val="26"/>
          <w:szCs w:val="20"/>
          <w:lang w:val="x-none" w:eastAsia="x-none"/>
        </w:rPr>
        <w:t xml:space="preserve"> общество</w:t>
      </w:r>
    </w:p>
    <w:p w:rsidR="00FA28CB" w:rsidRPr="00FA28CB" w:rsidRDefault="00FA28CB" w:rsidP="00FA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FA28CB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«Дальневосточная распределительная сетевая компания»</w:t>
      </w:r>
    </w:p>
    <w:p w:rsidR="00FA28CB" w:rsidRPr="00FA28CB" w:rsidRDefault="00FA28CB" w:rsidP="00FA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FA28CB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Филиал «Амурские электрические сети»</w:t>
      </w:r>
    </w:p>
    <w:p w:rsidR="00FA28CB" w:rsidRPr="00FA28CB" w:rsidRDefault="00FA28CB" w:rsidP="00FA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Univers" w:eastAsia="Times New Roman" w:hAnsi="Univers" w:cs="Times New Roman"/>
          <w:color w:val="000000"/>
          <w:sz w:val="14"/>
          <w:szCs w:val="20"/>
          <w:lang w:eastAsia="ru-RU"/>
        </w:rPr>
      </w:pPr>
      <w:r w:rsidRPr="00FA28CB">
        <w:rPr>
          <w:rFonts w:ascii="Univers" w:eastAsia="Times New Roman" w:hAnsi="Univers" w:cs="Times New Roman"/>
          <w:color w:val="000000"/>
          <w:sz w:val="14"/>
          <w:szCs w:val="20"/>
          <w:lang w:eastAsia="ru-RU"/>
        </w:rPr>
        <w:t>_____________________________________________________________________________________________</w:t>
      </w:r>
    </w:p>
    <w:p w:rsidR="00FA28CB" w:rsidRPr="00FA28CB" w:rsidRDefault="00FA28CB" w:rsidP="00FA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Univers" w:eastAsia="Times New Roman" w:hAnsi="Univers" w:cs="Times New Roman"/>
          <w:color w:val="000000"/>
          <w:sz w:val="10"/>
          <w:szCs w:val="20"/>
          <w:lang w:eastAsia="ru-RU"/>
        </w:rPr>
      </w:pPr>
    </w:p>
    <w:p w:rsidR="00FA28CB" w:rsidRPr="00FA28CB" w:rsidRDefault="00FA28CB" w:rsidP="00FA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 w:rsidRPr="00FA28CB">
          <w:rPr>
            <w:rFonts w:ascii="Times New Roman" w:eastAsia="Times New Roman" w:hAnsi="Times New Roman" w:cs="Times New Roman"/>
            <w:color w:val="000000"/>
            <w:sz w:val="16"/>
            <w:szCs w:val="20"/>
            <w:lang w:eastAsia="ru-RU"/>
          </w:rPr>
          <w:t>179, г</w:t>
        </w:r>
      </w:smartTag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. Благовещенск,  675003,  Россия  Тел: (4162) 399-359; Факс (4162) 399-289;</w:t>
      </w:r>
    </w:p>
    <w:p w:rsidR="00FA28CB" w:rsidRPr="00FA28CB" w:rsidRDefault="00FA28CB" w:rsidP="00FA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E</w:t>
      </w:r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-</w:t>
      </w:r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mail</w:t>
      </w:r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: </w:t>
      </w:r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doc</w:t>
      </w:r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@</w:t>
      </w:r>
      <w:proofErr w:type="spellStart"/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amur</w:t>
      </w:r>
      <w:proofErr w:type="spellEnd"/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.</w:t>
      </w:r>
      <w:proofErr w:type="spellStart"/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drsk</w:t>
      </w:r>
      <w:proofErr w:type="spellEnd"/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.</w:t>
      </w:r>
      <w:proofErr w:type="spellStart"/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ru</w:t>
      </w:r>
      <w:proofErr w:type="spellEnd"/>
      <w:r w:rsidRPr="00FA28CB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ОКПО 97987579, ОГРН 1052800111308, ИНН/КПП 2801108200/280102003</w:t>
      </w:r>
    </w:p>
    <w:tbl>
      <w:tblPr>
        <w:tblpPr w:leftFromText="180" w:rightFromText="180" w:vertAnchor="text" w:horzAnchor="margin" w:tblpY="207"/>
        <w:tblW w:w="2573" w:type="pct"/>
        <w:tblLook w:val="01E0" w:firstRow="1" w:lastRow="1" w:firstColumn="1" w:lastColumn="1" w:noHBand="0" w:noVBand="0"/>
      </w:tblPr>
      <w:tblGrid>
        <w:gridCol w:w="5071"/>
      </w:tblGrid>
      <w:tr w:rsidR="00A211CC" w:rsidRPr="00FA28CB" w:rsidTr="00A211CC">
        <w:trPr>
          <w:trHeight w:val="2124"/>
        </w:trPr>
        <w:tc>
          <w:tcPr>
            <w:tcW w:w="5000" w:type="pct"/>
          </w:tcPr>
          <w:p w:rsidR="00A211CC" w:rsidRPr="00FA28CB" w:rsidRDefault="00A211CC" w:rsidP="00A211CC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СОГЛАСОВАНО</w:t>
            </w:r>
          </w:p>
          <w:p w:rsidR="00A211CC" w:rsidRDefault="00A211CC" w:rsidP="00A21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директора по развитию и инвестициям</w:t>
            </w:r>
          </w:p>
          <w:p w:rsidR="00A211CC" w:rsidRPr="00FA28CB" w:rsidRDefault="00A211CC" w:rsidP="00A21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1CC" w:rsidRPr="00FA28CB" w:rsidRDefault="00A211CC" w:rsidP="00A21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</w:t>
            </w:r>
            <w:r w:rsidRPr="00FA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А.А. Майоров</w:t>
            </w:r>
          </w:p>
          <w:p w:rsidR="00A211CC" w:rsidRPr="00FA28CB" w:rsidRDefault="00A211CC" w:rsidP="00A21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1CC" w:rsidRPr="00FA28CB" w:rsidRDefault="00A211CC" w:rsidP="00A21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</w:t>
            </w:r>
            <w:r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211CC" w:rsidRPr="00FA28CB" w:rsidRDefault="00A211CC" w:rsidP="00A21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  <w:p w:rsidR="00A211CC" w:rsidRPr="00FA28CB" w:rsidRDefault="00A211CC" w:rsidP="00A21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</w:tr>
    </w:tbl>
    <w:p w:rsidR="00FA28CB" w:rsidRPr="00FA28CB" w:rsidRDefault="00FA28CB" w:rsidP="00FA28CB">
      <w:pPr>
        <w:widowControl w:val="0"/>
        <w:tabs>
          <w:tab w:val="left" w:pos="6060"/>
        </w:tabs>
        <w:autoSpaceDE w:val="0"/>
        <w:autoSpaceDN w:val="0"/>
        <w:adjustRightInd w:val="0"/>
        <w:spacing w:after="0" w:line="240" w:lineRule="auto"/>
        <w:jc w:val="center"/>
        <w:rPr>
          <w:rFonts w:ascii="Franklin Gothic Medium" w:eastAsia="Times New Roman" w:hAnsi="Franklin Gothic Medium" w:cs="Times New Roman"/>
          <w:b/>
          <w:color w:val="000000"/>
          <w:sz w:val="16"/>
          <w:szCs w:val="20"/>
          <w:lang w:eastAsia="ru-RU"/>
        </w:rPr>
      </w:pPr>
    </w:p>
    <w:tbl>
      <w:tblPr>
        <w:tblpPr w:leftFromText="180" w:rightFromText="180" w:vertAnchor="text" w:horzAnchor="margin" w:tblpXSpec="right" w:tblpY="10"/>
        <w:tblW w:w="2398" w:type="pct"/>
        <w:tblLook w:val="01E0" w:firstRow="1" w:lastRow="1" w:firstColumn="1" w:lastColumn="1" w:noHBand="0" w:noVBand="0"/>
      </w:tblPr>
      <w:tblGrid>
        <w:gridCol w:w="4726"/>
      </w:tblGrid>
      <w:tr w:rsidR="00FF1487" w:rsidRPr="00FA28CB" w:rsidTr="00A211CC">
        <w:trPr>
          <w:trHeight w:val="2124"/>
        </w:trPr>
        <w:tc>
          <w:tcPr>
            <w:tcW w:w="5000" w:type="pct"/>
          </w:tcPr>
          <w:p w:rsidR="00FF1487" w:rsidRPr="00FA28CB" w:rsidRDefault="00FF1487" w:rsidP="00FF1487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УТВЕРЖДАЮ</w:t>
            </w:r>
          </w:p>
          <w:p w:rsidR="00A211CC" w:rsidRDefault="00FF1487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директора </w:t>
            </w:r>
            <w:r w:rsidR="00A211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FF1487" w:rsidRDefault="00A211CC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инженер</w:t>
            </w:r>
          </w:p>
          <w:p w:rsidR="00A211CC" w:rsidRPr="00FA28CB" w:rsidRDefault="00A211CC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1487" w:rsidRPr="00FA28CB" w:rsidRDefault="00FF1487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</w:t>
            </w:r>
            <w:r w:rsidRPr="00FA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А.А. </w:t>
            </w:r>
            <w:r w:rsidR="00A211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Воробьев</w:t>
            </w:r>
          </w:p>
          <w:p w:rsidR="00A211CC" w:rsidRDefault="00A211CC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1487" w:rsidRPr="00FA28CB" w:rsidRDefault="00A211CC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  <w:r w:rsidR="00FF1487"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FF14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="00FF1487" w:rsidRPr="00FA28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FF1487" w:rsidRPr="00FA28CB" w:rsidRDefault="00FF1487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  <w:p w:rsidR="00FF1487" w:rsidRPr="00FA28CB" w:rsidRDefault="00FF1487" w:rsidP="00FF1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</w:tr>
    </w:tbl>
    <w:p w:rsidR="00FF1487" w:rsidRDefault="00FF1487" w:rsidP="00C0649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30B4" w:rsidRDefault="00C06492" w:rsidP="00C0649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E7674C" w:rsidRPr="00E7674C" w:rsidRDefault="00491964" w:rsidP="00E7674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E7674C" w:rsidRPr="00E7674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E7674C" w:rsidRPr="00E7674C" w:rsidRDefault="00E7674C" w:rsidP="00E7674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674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для выполнения мероприятий по технологическому присоединению заявителей к электрическим сетям 10/0,4 </w:t>
      </w:r>
      <w:proofErr w:type="spellStart"/>
      <w:r w:rsidRPr="00E7674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кВ</w:t>
      </w:r>
      <w:proofErr w:type="spellEnd"/>
      <w:r w:rsidRPr="00E7674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СП «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З</w:t>
      </w:r>
      <w:r w:rsidRPr="00E7674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ЭС» филиала АО «ДРСК»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- </w:t>
      </w:r>
      <w:r w:rsidRPr="00E7674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«Амурские Электрические сети»</w:t>
      </w:r>
    </w:p>
    <w:p w:rsidR="0022466A" w:rsidRPr="00D00D84" w:rsidRDefault="00AD5A09" w:rsidP="00FB3B60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C06492" w:rsidRPr="00D00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D00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Объект:</w:t>
      </w:r>
      <w:r w:rsidR="0022466A" w:rsidRPr="00D00D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D1E9F" w:rsidRPr="00D00D84" w:rsidRDefault="006D1E9F" w:rsidP="006D1E9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0D8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6A7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00D84">
        <w:rPr>
          <w:rFonts w:ascii="Times New Roman" w:eastAsia="Times New Roman" w:hAnsi="Times New Roman" w:cs="Times New Roman"/>
          <w:sz w:val="26"/>
          <w:szCs w:val="26"/>
          <w:lang w:eastAsia="ru-RU"/>
        </w:rPr>
        <w:t>. КЛ-10 кВ в г. Свободный (строительство) от ПС 35/10 кВ «Северная»;</w:t>
      </w:r>
    </w:p>
    <w:p w:rsidR="006D1E9F" w:rsidRDefault="006D1E9F" w:rsidP="006D1E9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0D8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6A7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0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ПС 35/10 кВ «Северная» (реконструкция) расширение на две линейные ячейки 10 </w:t>
      </w:r>
      <w:proofErr w:type="spellStart"/>
      <w:r w:rsidRPr="00D00D84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</w:p>
    <w:p w:rsidR="00554A1F" w:rsidRDefault="00FB3B60" w:rsidP="00733A3D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</w:p>
    <w:p w:rsidR="00C06492" w:rsidRPr="00C06492" w:rsidRDefault="00554A1F" w:rsidP="00733A3D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AD5A09" w:rsidRDefault="00FB3B60" w:rsidP="00C0649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A0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AD5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AD5A09" w:rsidRPr="00AD5A09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программа АО «Дальневосточная распределительная сет</w:t>
      </w:r>
      <w:r w:rsidR="0017719A">
        <w:rPr>
          <w:rFonts w:ascii="Times New Roman" w:eastAsia="Times New Roman" w:hAnsi="Times New Roman" w:cs="Times New Roman"/>
          <w:sz w:val="26"/>
          <w:szCs w:val="26"/>
          <w:lang w:eastAsia="ru-RU"/>
        </w:rPr>
        <w:t>евая компания» на 201</w:t>
      </w:r>
      <w:r w:rsidR="0040240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7719A">
        <w:rPr>
          <w:rFonts w:ascii="Times New Roman" w:eastAsia="Times New Roman" w:hAnsi="Times New Roman" w:cs="Times New Roman"/>
          <w:sz w:val="26"/>
          <w:szCs w:val="26"/>
          <w:lang w:eastAsia="ru-RU"/>
        </w:rPr>
        <w:t>-2017 год.</w:t>
      </w:r>
    </w:p>
    <w:p w:rsidR="00C06492" w:rsidRDefault="00FB3B60" w:rsidP="00C0649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4B2E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FB3B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на технологическое присоединение к электрическим сетям АО «Дальневосточная распределительная сетевая компания» </w:t>
      </w:r>
      <w:r w:rsidR="00FD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04027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207D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0402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D1E9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D42E1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B576D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D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0402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D1E9F">
        <w:rPr>
          <w:rFonts w:ascii="Times New Roman" w:eastAsia="Times New Roman" w:hAnsi="Times New Roman" w:cs="Times New Roman"/>
          <w:sz w:val="26"/>
          <w:szCs w:val="26"/>
          <w:lang w:eastAsia="ru-RU"/>
        </w:rPr>
        <w:t>518</w:t>
      </w:r>
      <w:r w:rsidR="00FD42E1">
        <w:rPr>
          <w:rFonts w:ascii="Times New Roman" w:eastAsia="Times New Roman" w:hAnsi="Times New Roman" w:cs="Times New Roman"/>
          <w:sz w:val="26"/>
          <w:szCs w:val="26"/>
          <w:lang w:eastAsia="ru-RU"/>
        </w:rPr>
        <w:t>-ТП</w:t>
      </w:r>
      <w:r w:rsidR="001771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34E0" w:rsidRDefault="003434E0" w:rsidP="00C06492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Pr="00FB3B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на технологическое присоединение к электрическим сетям АО «Дальневосточная распределительная сетевая компания» </w:t>
      </w:r>
      <w:r w:rsidR="0017719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29.06.2016 № 1519-ТП.</w:t>
      </w:r>
    </w:p>
    <w:p w:rsidR="00554A1F" w:rsidRDefault="00C06492" w:rsidP="00C06492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</w:p>
    <w:p w:rsidR="00C06492" w:rsidRPr="00C06492" w:rsidRDefault="00554A1F" w:rsidP="00C06492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A630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Основные нормативно-технические документы (НТД), определяющие требования к рабочему проекту:</w:t>
      </w:r>
    </w:p>
    <w:p w:rsidR="00FB25AD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FB25AD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составе разделов проектной документации и требования к их содержанию (Утв. Постановлением Правител</w:t>
      </w:r>
      <w:r w:rsid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ьства РФ от 16.02.2008 г. № 87).</w:t>
      </w:r>
    </w:p>
    <w:p w:rsidR="00C06492" w:rsidRPr="00C06492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.2. ГОСТ Р 21.1101-2009. Основные требования к проектной и рабочей документации</w:t>
      </w:r>
      <w:r w:rsid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06492" w:rsidRPr="00C06492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.3. ФЗ-123 «Технический регламент о требованиях пожарной безопасности» от 22.07.2008 г.</w:t>
      </w:r>
    </w:p>
    <w:p w:rsidR="00C06492" w:rsidRPr="00C06492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</w:t>
      </w:r>
      <w:r w:rsid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ПУЭ и ПТЭ (действующие издания).</w:t>
      </w:r>
    </w:p>
    <w:p w:rsidR="00C06492" w:rsidRPr="00FA28CB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28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="002A67E8">
        <w:rPr>
          <w:rFonts w:ascii="Times New Roman" w:eastAsia="Times New Roman" w:hAnsi="Times New Roman" w:cs="Times New Roman"/>
          <w:sz w:val="26"/>
          <w:szCs w:val="26"/>
          <w:lang w:eastAsia="ru-RU"/>
        </w:rPr>
        <w:t>.5</w:t>
      </w:r>
      <w:r w:rsidR="00C06492" w:rsidRPr="00FA2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hyperlink r:id="rId8" w:tooltip="Утверждена решением Совета директоров ОАО " w:history="1">
        <w:r w:rsidR="00C06492" w:rsidRPr="00FA28CB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 w:rsidR="006824D2" w:rsidRPr="00FA28CB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ПАО </w:t>
        </w:r>
        <w:r w:rsidR="00C06492" w:rsidRPr="00FA28CB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«РАО ЭС Востока» на период до 2020 года</w:t>
        </w:r>
      </w:hyperlink>
      <w:r w:rsidR="00C06492" w:rsidRPr="00FA28C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C06492" w:rsidRPr="00C06492" w:rsidRDefault="00A630B4" w:rsidP="00C0649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FA28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A67E8">
        <w:rPr>
          <w:rFonts w:ascii="Times New Roman" w:eastAsia="Times New Roman" w:hAnsi="Times New Roman" w:cs="Times New Roman"/>
          <w:sz w:val="26"/>
          <w:szCs w:val="26"/>
          <w:lang w:eastAsia="ru-RU"/>
        </w:rPr>
        <w:t>.6</w:t>
      </w:r>
      <w:r w:rsidR="00C06492" w:rsidRPr="00FA28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FA28C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 w:rsidR="006824D2" w:rsidRPr="00FA28C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ПАО </w:t>
      </w:r>
      <w:r w:rsidR="00C06492" w:rsidRPr="00FA28C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 w:rsidR="006824D2" w:rsidRPr="00FA28C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ПАО </w:t>
      </w:r>
      <w:r w:rsidR="00C06492" w:rsidRPr="00FA28C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«РАО ЭС Востока» в области оснащения объектов энергетики инженерно-</w:t>
      </w:r>
      <w:r w:rsidR="00E904F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техническими средствами охраны).</w:t>
      </w:r>
    </w:p>
    <w:p w:rsidR="00C06492" w:rsidRPr="00C06492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A67E8">
        <w:rPr>
          <w:rFonts w:ascii="Times New Roman" w:eastAsia="Times New Roman" w:hAnsi="Times New Roman" w:cs="Times New Roman"/>
          <w:sz w:val="26"/>
          <w:szCs w:val="26"/>
          <w:lang w:eastAsia="ru-RU"/>
        </w:rPr>
        <w:t>.7</w:t>
      </w:r>
      <w:r w:rsidR="00C06492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82775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«Уточнение карт климатического районирования территории Амурской области, Еврейской автономной области, </w:t>
      </w:r>
      <w:proofErr w:type="spellStart"/>
      <w:r w:rsidR="00382775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="00382775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382775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="00382775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</w:t>
      </w:r>
      <w:r w:rsidR="00C06492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</w:t>
      </w:r>
      <w:r w:rsidR="007243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</w:t>
      </w:r>
      <w:r w:rsidR="002A6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 России по гидрометеорологии </w:t>
      </w:r>
      <w:r w:rsid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мониторингу окружающей среды.</w:t>
      </w:r>
    </w:p>
    <w:p w:rsidR="00C06492" w:rsidRPr="00C06492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A67E8">
        <w:rPr>
          <w:rFonts w:ascii="Times New Roman" w:eastAsia="Times New Roman" w:hAnsi="Times New Roman" w:cs="Times New Roman"/>
          <w:sz w:val="26"/>
          <w:szCs w:val="26"/>
          <w:lang w:eastAsia="ru-RU"/>
        </w:rPr>
        <w:t>.8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C06492" w:rsidRDefault="00A630B4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A67E8">
        <w:rPr>
          <w:rFonts w:ascii="Times New Roman" w:eastAsia="Times New Roman" w:hAnsi="Times New Roman" w:cs="Times New Roman"/>
          <w:sz w:val="26"/>
          <w:szCs w:val="26"/>
          <w:lang w:eastAsia="ru-RU"/>
        </w:rPr>
        <w:t>.9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</w:t>
      </w:r>
      <w:r w:rsidR="00B51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работки проектной документации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</w:t>
      </w:r>
      <w:r w:rsidR="00B51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-техническая документация; действующие законодательные документы РФ и нормативные акты к ним.</w:t>
      </w:r>
    </w:p>
    <w:p w:rsidR="00554A1F" w:rsidRDefault="00554A1F" w:rsidP="00733A3D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B3B60" w:rsidRDefault="00A630B4" w:rsidP="00733A3D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24530E" w:rsidRDefault="00462635" w:rsidP="00733A3D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характеристики объектов</w:t>
      </w:r>
      <w:r w:rsidR="0024530E" w:rsidRPr="0024530E">
        <w:t xml:space="preserve"> </w:t>
      </w:r>
      <w:r w:rsidR="0024530E" w:rsidRPr="002453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приведены в таблице №1.</w:t>
      </w:r>
    </w:p>
    <w:p w:rsidR="0024530E" w:rsidRPr="0091688A" w:rsidRDefault="0024530E" w:rsidP="009168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9168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№1. Основные характеристики объекта строительства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660"/>
        <w:gridCol w:w="5335"/>
      </w:tblGrid>
      <w:tr w:rsidR="00FB3B60" w:rsidRPr="00E85398" w:rsidTr="0011177B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E85398" w:rsidRDefault="00FB3B60" w:rsidP="00FB3B60">
            <w:pPr>
              <w:widowControl w:val="0"/>
              <w:autoSpaceDE w:val="0"/>
              <w:autoSpaceDN w:val="0"/>
              <w:adjustRightInd w:val="0"/>
              <w:spacing w:after="0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E85398" w:rsidRDefault="00FB3B60" w:rsidP="00E24253">
            <w:pPr>
              <w:widowControl w:val="0"/>
              <w:autoSpaceDE w:val="0"/>
              <w:autoSpaceDN w:val="0"/>
              <w:adjustRightInd w:val="0"/>
              <w:spacing w:after="0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E85398" w:rsidRDefault="00FB3B60" w:rsidP="00E242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6D1E9F" w:rsidRPr="00E85398" w:rsidTr="001402E7">
        <w:trPr>
          <w:jc w:val="center"/>
        </w:trPr>
        <w:tc>
          <w:tcPr>
            <w:tcW w:w="9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462635" w:rsidP="0046263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КЛ-10 </w:t>
            </w:r>
            <w:proofErr w:type="spellStart"/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</w:t>
            </w:r>
            <w:proofErr w:type="spellEnd"/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 г. Свободный (строительство) от ПС 35/10 </w:t>
            </w:r>
            <w:proofErr w:type="spellStart"/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</w:t>
            </w:r>
            <w:proofErr w:type="spellEnd"/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«Северная»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КЛ, км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B85F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 </w:t>
            </w:r>
            <w:r w:rsidR="00D00D84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0D84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 (</w:t>
            </w:r>
            <w:r w:rsidR="00AC3A0B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  <w:r w:rsidR="00A211CC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в 2 линии</w:t>
            </w:r>
            <w:r w:rsidR="00AC3A0B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основное</w:t>
            </w:r>
            <w:r w:rsidR="00B85F48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питание</w:t>
            </w:r>
            <w:r w:rsidR="00A211CC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AC3A0B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</w:t>
            </w:r>
            <w:r w:rsidR="00B85F48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в 2 линии </w:t>
            </w:r>
            <w:r w:rsidR="00AC3A0B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резервное</w:t>
            </w:r>
            <w:r w:rsidR="00B85F48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питание</w:t>
            </w:r>
            <w:r w:rsidR="00D00D84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51224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1224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уточнить в </w:t>
            </w: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проектной документации</w:t>
            </w:r>
            <w:r w:rsidR="00D00D84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особенности КЛ, включая рекомендации по типу опор и изоляции 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расчете кабельных линий должны учитываться климатические условия - кислотность, щелочность, обводненость грунта. Применить кабель силовой бронированный типа ААШВу-10.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Передаваемая мощность 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4B0412" w:rsidP="00D81A19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9 540 кВт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проектом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подключения КЛ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ячейки 10 </w:t>
            </w:r>
            <w:proofErr w:type="spellStart"/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AC3A0B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и №</w:t>
            </w:r>
            <w:r w:rsidR="00AC3A0B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6D1E9F" w:rsidRPr="00E85398" w:rsidRDefault="006D1E9F" w:rsidP="00D81A1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Вновь устанавливаемые ячейки 10 кВ по одной к каждой секции</w:t>
            </w:r>
          </w:p>
        </w:tc>
      </w:tr>
      <w:tr w:rsidR="006D1E9F" w:rsidRPr="00E85398" w:rsidTr="00B15DF1">
        <w:trPr>
          <w:jc w:val="center"/>
        </w:trPr>
        <w:tc>
          <w:tcPr>
            <w:tcW w:w="9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462635" w:rsidP="0046263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ПС 35/10 </w:t>
            </w:r>
            <w:proofErr w:type="spellStart"/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</w:t>
            </w:r>
            <w:proofErr w:type="spellEnd"/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«Северная» (реконструкция) расширение на две линейные ячейки 10 </w:t>
            </w:r>
            <w:proofErr w:type="spellStart"/>
            <w:r w:rsidRPr="00E853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напряжение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35/10 кВ</w:t>
            </w:r>
          </w:p>
        </w:tc>
      </w:tr>
      <w:tr w:rsidR="006D1E9F" w:rsidRPr="00E85398" w:rsidTr="0011177B">
        <w:trPr>
          <w:trHeight w:val="685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РУ-35 – открытое</w:t>
            </w:r>
          </w:p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РУ-10 – комплектное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схемы каждого РУ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AC3A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РУ-35 кВ –</w:t>
            </w:r>
            <w:r w:rsidR="00D2302E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открытое, № 35-9 «Одна рабочая, секционированная выключателем система шин»</w:t>
            </w:r>
          </w:p>
          <w:p w:rsidR="006D1E9F" w:rsidRPr="00E85398" w:rsidRDefault="006D1E9F" w:rsidP="00AC3A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РУ-10 кВ – комплектное, № 10-1 «Одна секционированная выключателем система шин»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линий, подключаемых к подстанции, по каждому РУ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кВ – 4 линии,</w:t>
            </w:r>
          </w:p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кВ – 10 линий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Оперативный ток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выпрямленный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Оперативная блокировка 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мощность силовых трансформаторов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х 16 МВА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обслуживания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 персонал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выключателей РУ-35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BB25F9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</w:t>
            </w:r>
            <w:r w:rsidR="006D1E9F"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выключателей РУ-10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вакуумные </w:t>
            </w:r>
          </w:p>
        </w:tc>
      </w:tr>
      <w:tr w:rsidR="006D1E9F" w:rsidRPr="00E85398" w:rsidTr="0011177B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6D1E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D81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расширения 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9F" w:rsidRPr="00E85398" w:rsidRDefault="006D1E9F" w:rsidP="00AC3A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существующее РУ-10 кВ типа К-59 СЭЩ на две линейные ячейки, по одной на каждую секцию.</w:t>
            </w:r>
          </w:p>
          <w:p w:rsidR="006D1E9F" w:rsidRPr="00E85398" w:rsidRDefault="006D1E9F" w:rsidP="00AC3A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возможность расширения в дальнейшем.</w:t>
            </w:r>
          </w:p>
        </w:tc>
      </w:tr>
    </w:tbl>
    <w:p w:rsidR="00C06492" w:rsidRPr="00C06492" w:rsidRDefault="00A630B4" w:rsidP="005F4BC1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Вид строительства и этапы разработки 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733A3D" w:rsidRPr="00E85398" w:rsidRDefault="00A630B4" w:rsidP="00733A3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F333C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Вид строительства – </w:t>
      </w:r>
      <w:r w:rsidR="00733A3D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новое строительство </w:t>
      </w:r>
      <w:r w:rsidR="006D1E9F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КЛ-10 </w:t>
      </w:r>
      <w:proofErr w:type="spellStart"/>
      <w:r w:rsidR="006D1E9F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D1E9F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33A3D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границы земельного участка заявителя</w:t>
      </w:r>
      <w:r w:rsidR="006D1E9F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реконструкция ПС 35/10 </w:t>
      </w:r>
      <w:proofErr w:type="spellStart"/>
      <w:r w:rsidR="006D1E9F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D1E9F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«Северная»</w:t>
      </w:r>
      <w:r w:rsidR="0083362D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68EE" w:rsidRPr="00E7674C" w:rsidRDefault="00A630B4" w:rsidP="00D468EE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.2.  Этапы разработки проекта: Разработк</w:t>
      </w:r>
      <w:r w:rsidR="005F4BC1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составе рабочей документации обосновать и выполнить:</w:t>
      </w:r>
    </w:p>
    <w:p w:rsidR="00D468EE" w:rsidRPr="00E7674C" w:rsidRDefault="0011177B" w:rsidP="00D46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.2.1. Инженерные изыскания в объеме, необходимом для проектирования.</w:t>
      </w:r>
    </w:p>
    <w:p w:rsidR="00D468EE" w:rsidRPr="00E7674C" w:rsidRDefault="0011177B" w:rsidP="00D46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.2.2. Принципиальные конструктивные решения по КЛ 10 </w:t>
      </w:r>
      <w:proofErr w:type="spellStart"/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</w:p>
    <w:p w:rsidR="00D468EE" w:rsidRPr="00E7674C" w:rsidRDefault="0011177B" w:rsidP="00D46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.2.3. План участка трассы КЛ-10 </w:t>
      </w:r>
      <w:proofErr w:type="spellStart"/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r w:rsidR="00D468EE" w:rsidRPr="00E7674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proofErr w:type="spellEnd"/>
    </w:p>
    <w:p w:rsidR="00D468EE" w:rsidRPr="00E7674C" w:rsidRDefault="0011177B" w:rsidP="00D468EE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91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91964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Спецификация материалов, изделий, конструкций и оборудования;</w:t>
      </w:r>
    </w:p>
    <w:p w:rsidR="00D468EE" w:rsidRPr="00E7674C" w:rsidRDefault="0011177B" w:rsidP="00D468EE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left="426" w:firstLine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9196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91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D468EE" w:rsidRPr="00E7674C" w:rsidRDefault="00491964" w:rsidP="00D468EE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D468EE" w:rsidRPr="00E7674C">
        <w:rPr>
          <w:rFonts w:ascii="Times New Roman" w:eastAsia="Times New Roman" w:hAnsi="Times New Roman" w:cs="Times New Roman"/>
          <w:sz w:val="26"/>
          <w:szCs w:val="26"/>
          <w:lang w:eastAsia="ru-RU"/>
        </w:rPr>
        <w:t>  Локальные-сметные расчёты.</w:t>
      </w:r>
    </w:p>
    <w:p w:rsidR="00D468EE" w:rsidRPr="00E85398" w:rsidRDefault="00491964" w:rsidP="00D468EE">
      <w:pPr>
        <w:tabs>
          <w:tab w:val="left" w:pos="-63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468EE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D468EE" w:rsidRPr="00E8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 организации строительства (ПОС) со сроками выполнения строительно-монтажных работ (СМР), с учетом выполнения работ без ограничения энергоснабжения потребителей.</w:t>
      </w:r>
    </w:p>
    <w:p w:rsidR="005F4BC1" w:rsidRPr="006A1806" w:rsidRDefault="005F4BC1" w:rsidP="00733A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Разработать и </w:t>
      </w:r>
      <w:r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54A1F" w:rsidRDefault="00554A1F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 Требования к </w:t>
      </w:r>
      <w:r w:rsidR="006E49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CA13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proofErr w:type="gramStart"/>
      <w:r w:rsid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491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должен </w:t>
      </w:r>
      <w:r w:rsidR="009B5566" w:rsidRPr="003D491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предоставить</w:t>
      </w:r>
      <w:r w:rsidRPr="003D491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Минрегиона</w:t>
      </w:r>
      <w:proofErr w:type="spellEnd"/>
      <w:r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от. 30.12.2009 г. №624 «Об утверждении </w:t>
      </w:r>
      <w:r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строительства»):</w:t>
      </w:r>
      <w:proofErr w:type="gramEnd"/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I</w:t>
      </w:r>
      <w:r w:rsidRPr="00CA138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. Виды работ по инженерным изысканиям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1.Работы в составе инженерно-геодезических изысканий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1.4. Трассирование линейных объектов.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II</w:t>
      </w:r>
      <w:r w:rsidRPr="00CA138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. Виды работ по подготовке проектной документации 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1.1. Работы по подготовке генерального плана земельного участка;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объекта;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5.3. Работы по подготовке проектов наружных сетей электроснабжения до 35 </w:t>
      </w:r>
      <w:proofErr w:type="spellStart"/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 и их сооружений</w:t>
      </w:r>
    </w:p>
    <w:p w:rsidR="00EC4855" w:rsidRPr="00CA138E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9. Работы по подготовке проектов мероприятий по охране окружающей среды.</w:t>
      </w:r>
    </w:p>
    <w:p w:rsidR="00EC4855" w:rsidRDefault="00EC4855" w:rsidP="00EC4855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A13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безопасности.</w:t>
      </w:r>
    </w:p>
    <w:p w:rsidR="00554A1F" w:rsidRDefault="00554A1F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3A8D" w:rsidRPr="00363A8D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363A8D" w:rsidRPr="00363A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расчетов:</w:t>
      </w:r>
    </w:p>
    <w:p w:rsidR="00363A8D" w:rsidRPr="00363A8D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Сметная стоимость определяется </w:t>
      </w:r>
      <w:r w:rsidR="00363A8D" w:rsidRP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363A8D" w:rsidRPr="00363A8D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63A8D" w:rsidRP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«Порядок определения стоимости проектных работ»; </w:t>
      </w:r>
    </w:p>
    <w:p w:rsidR="00363A8D" w:rsidRPr="00363A8D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63A8D" w:rsidRP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«Порядок определения стоимости инженерных изысканий»;</w:t>
      </w:r>
    </w:p>
    <w:p w:rsidR="00363A8D" w:rsidRPr="00363A8D" w:rsidRDefault="00EC4855" w:rsidP="00E904F4">
      <w:pPr>
        <w:widowControl w:val="0"/>
        <w:shd w:val="clear" w:color="auto" w:fill="FFFFFF"/>
        <w:tabs>
          <w:tab w:val="left" w:pos="1134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.1.3. </w:t>
      </w:r>
      <w:r w:rsidR="00363A8D" w:rsidRP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363A8D" w:rsidRPr="00363A8D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63A8D" w:rsidRPr="00363A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«Порядок определения стоимости строительно-монтажных работ». </w:t>
      </w:r>
    </w:p>
    <w:p w:rsidR="00363A8D" w:rsidRPr="00526893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FB29A7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Сметную документацию 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Постановлению Правительства РФ от 16.02.2008г. № 87 «О составе разделов проектной документации </w:t>
      </w:r>
      <w:r w:rsidR="00FB29A7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и требованиях к их содержанию»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B29A7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в двух уровнях цен с применением базисно-индексного метода:</w:t>
      </w:r>
    </w:p>
    <w:p w:rsidR="00363A8D" w:rsidRPr="00526893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.2.1. 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363A8D" w:rsidRPr="00526893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.2.2. Сметная стоимость в текущем уровне цен, сложившемся ко времени со</w:t>
      </w:r>
      <w:r w:rsidR="00526893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ставления смет, составляется с 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применением индексов изменения сметной стоимости, рекомендованных РЦЦС (Региональный центр по ценообразованию </w:t>
      </w:r>
      <w:r w:rsidR="00526893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строительстве министерства строительства, архитектуры и жилищно-коммунального хозяйства Амурской области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363A8D" w:rsidRPr="00526893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.2.3. </w:t>
      </w:r>
      <w:r w:rsidR="00FB29A7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текущий уровень цен и наоборот, к 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стоимости оборудования,</w:t>
      </w:r>
      <w:r w:rsidR="00FB29A7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прочих затрат, проектных работ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363A8D" w:rsidRPr="00526893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Прогнозная стоимость стро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ительства формируется с учетом 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63A8D" w:rsidRPr="00526893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63A8D" w:rsidRPr="00E904F4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Сметную документацию предоставлять в формате MS </w:t>
      </w:r>
      <w:proofErr w:type="spellStart"/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Exc</w:t>
      </w:r>
      <w:r w:rsidR="006122FA">
        <w:rPr>
          <w:rFonts w:ascii="Times New Roman" w:eastAsia="Times New Roman" w:hAnsi="Times New Roman" w:cs="Times New Roman"/>
          <w:sz w:val="26"/>
          <w:szCs w:val="26"/>
          <w:lang w:eastAsia="ru-RU"/>
        </w:rPr>
        <w:t>el</w:t>
      </w:r>
      <w:proofErr w:type="spellEnd"/>
      <w:r w:rsidR="006122F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</w:t>
      </w:r>
      <w:r w:rsidR="00D0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«WIN RIK» </w:t>
      </w:r>
      <w:r w:rsidR="00363A8D" w:rsidRP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«Гранд СМЕТА», позволяющем вести накопительные ведомости по </w:t>
      </w:r>
      <w:r w:rsidR="00363A8D" w:rsidRP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локальным сметам.</w:t>
      </w:r>
    </w:p>
    <w:p w:rsidR="00526893" w:rsidRPr="00E904F4" w:rsidRDefault="00EC4855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26893" w:rsidRP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.6.</w:t>
      </w:r>
      <w:r w:rsidR="00526893" w:rsidRPr="00E90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26893" w:rsidRP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Сметные расчеты выполнить с учетом требований «Протокола согласования нормативов для расчетов сметной документации» (</w:t>
      </w:r>
      <w:r w:rsidR="00526893" w:rsidRPr="00E904F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 № 1 к Техническому заданию</w:t>
      </w:r>
      <w:r w:rsidR="00526893" w:rsidRPr="00E904F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526893" w:rsidRPr="00E904F4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DE48CA" w:rsidRPr="00E904F4" w:rsidRDefault="00DE48CA" w:rsidP="00363A8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EC4855" w:rsidP="00C06492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04F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8</w:t>
      </w:r>
      <w:r w:rsidR="00C06492" w:rsidRPr="00E904F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C06492" w:rsidRPr="00CA138E" w:rsidRDefault="00EC4855" w:rsidP="003D491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F4BC1"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06492"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  <w:r w:rsidR="009B5566" w:rsidRPr="00CA1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06492" w:rsidRPr="00C06492" w:rsidRDefault="00EC4855" w:rsidP="00C0649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7687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BA3E90" w:rsidRPr="00307169" w:rsidRDefault="00C06492" w:rsidP="0052689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C485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A3E90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A3E90" w:rsidRP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предоставляет на согласование разработанную ПСД в бумажном и электронном виде за 10 дней до окончания срока выполнения работ</w:t>
      </w:r>
      <w:r w:rsidR="003071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06492" w:rsidRPr="00C06492" w:rsidRDefault="00EC4855" w:rsidP="00C064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Подрядчик в де</w:t>
      </w:r>
      <w:r w:rsidR="006122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нь завершения работ, указанный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C06492" w:rsidRDefault="00EC4855" w:rsidP="00C064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</w:p>
    <w:p w:rsidR="008F794C" w:rsidRPr="00591E2B" w:rsidRDefault="00D278A4" w:rsidP="00591E2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1E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№2. Основные требования при передаче документации в электронном виде</w:t>
      </w:r>
    </w:p>
    <w:tbl>
      <w:tblPr>
        <w:tblpPr w:leftFromText="180" w:rightFromText="180" w:vertAnchor="text" w:horzAnchor="margin" w:tblpX="108" w:tblpY="17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5528"/>
        <w:gridCol w:w="1026"/>
      </w:tblGrid>
      <w:tr w:rsidR="005171B0" w:rsidRPr="005171B0" w:rsidTr="0011177B">
        <w:trPr>
          <w:trHeight w:val="233"/>
        </w:trPr>
        <w:tc>
          <w:tcPr>
            <w:tcW w:w="3085" w:type="dxa"/>
          </w:tcPr>
          <w:p w:rsidR="005171B0" w:rsidRPr="005171B0" w:rsidRDefault="005171B0" w:rsidP="00691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528" w:type="dxa"/>
          </w:tcPr>
          <w:p w:rsidR="005171B0" w:rsidRPr="005171B0" w:rsidRDefault="005171B0" w:rsidP="00691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026" w:type="dxa"/>
          </w:tcPr>
          <w:p w:rsidR="005171B0" w:rsidRPr="005171B0" w:rsidRDefault="005171B0" w:rsidP="00691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11177B">
        <w:trPr>
          <w:trHeight w:val="267"/>
        </w:trPr>
        <w:tc>
          <w:tcPr>
            <w:tcW w:w="3085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528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</w:p>
        </w:tc>
        <w:tc>
          <w:tcPr>
            <w:tcW w:w="1026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11177B">
        <w:tc>
          <w:tcPr>
            <w:tcW w:w="3085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528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office Visio</w:t>
            </w:r>
          </w:p>
        </w:tc>
        <w:tc>
          <w:tcPr>
            <w:tcW w:w="1026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11177B">
        <w:tc>
          <w:tcPr>
            <w:tcW w:w="3085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528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 Rar</w:t>
            </w:r>
          </w:p>
        </w:tc>
        <w:tc>
          <w:tcPr>
            <w:tcW w:w="1026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.rar</w:t>
            </w:r>
          </w:p>
        </w:tc>
      </w:tr>
      <w:tr w:rsidR="005171B0" w:rsidRPr="005171B0" w:rsidTr="0011177B">
        <w:tc>
          <w:tcPr>
            <w:tcW w:w="3085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528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</w:p>
        </w:tc>
        <w:tc>
          <w:tcPr>
            <w:tcW w:w="1026" w:type="dxa"/>
          </w:tcPr>
          <w:p w:rsidR="005171B0" w:rsidRPr="005171B0" w:rsidRDefault="005171B0" w:rsidP="008F79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</w:tbl>
    <w:p w:rsidR="007537AE" w:rsidRDefault="00EC4855" w:rsidP="00C06492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2689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</w:t>
      </w:r>
      <w:r w:rsidR="006122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каций; с ГКУ </w:t>
      </w:r>
      <w:r w:rsidR="00FD42E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FD42E1" w:rsidRP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FD42E1" w:rsidRP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П</w:t>
      </w:r>
      <w:r w:rsidR="007537AE" w:rsidRP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«РЖД».</w:t>
      </w:r>
    </w:p>
    <w:p w:rsidR="006E490E" w:rsidRPr="006E490E" w:rsidRDefault="006E490E" w:rsidP="006E49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8.7. Для выполнения изыскательских работ по договору Подрядчик имеет право привлекать иных лиц (субподрядчиков). </w:t>
      </w:r>
      <w:proofErr w:type="gramStart"/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привлечения субподрядной организации необходимо предоставить Заказчику, необходимые документы, подтверждающие право осуществлять функции Генерального подрядчика (наличие в </w:t>
      </w: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свидетельстве СРО пункта:</w:t>
      </w:r>
      <w:proofErr w:type="gramEnd"/>
    </w:p>
    <w:p w:rsidR="006E490E" w:rsidRPr="006E490E" w:rsidRDefault="006E490E" w:rsidP="006E49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E49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проектировщиком), </w:t>
      </w: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также:</w:t>
      </w:r>
    </w:p>
    <w:p w:rsidR="006E490E" w:rsidRPr="006E490E" w:rsidRDefault="006E490E" w:rsidP="006E49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6E490E" w:rsidRPr="006E490E" w:rsidRDefault="006E490E" w:rsidP="006E49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правоведения этих работ заверенными копиями СРО субподрядных организаций.</w:t>
      </w:r>
    </w:p>
    <w:p w:rsidR="006E490E" w:rsidRPr="006E490E" w:rsidRDefault="006E490E" w:rsidP="006E49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>8.8. Заказчик вправе потребовать от Подрядчика замены субподрядчиков с мотивированным обоснованием такого требования, но независимо от этого, полную ответственность перед Заказчиком за сроки и качество выполняемых субподрядчиками работ, а также иную ответственность за действия субподрядной организации, как и за свои собственные действия по исполнению договора подряда несет Подрядчик.</w:t>
      </w:r>
    </w:p>
    <w:p w:rsidR="006E490E" w:rsidRDefault="006E490E" w:rsidP="006E490E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>8.9. Подрядчик не вправе заключать с субподрядчиками договоры, общая стоимость которых будет превышать 50 % от цены договора с Заказчиком.</w:t>
      </w:r>
    </w:p>
    <w:p w:rsidR="00C06492" w:rsidRPr="00C06492" w:rsidRDefault="00EC4855" w:rsidP="00C06492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E490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</w:t>
      </w:r>
      <w:r w:rsidR="00FA28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554A1F" w:rsidRDefault="00554A1F" w:rsidP="0083362D">
      <w:pPr>
        <w:widowControl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Default="00EC4855" w:rsidP="0083362D">
      <w:pPr>
        <w:widowControl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r w:rsidR="006122FA">
        <w:rPr>
          <w:rFonts w:ascii="Times New Roman" w:eastAsia="Times New Roman" w:hAnsi="Times New Roman" w:cs="Times New Roman"/>
          <w:sz w:val="26"/>
          <w:szCs w:val="26"/>
          <w:lang w:eastAsia="ru-RU"/>
        </w:rPr>
        <w:t>ДРСК</w:t>
      </w:r>
      <w:r w:rsidR="00C06492" w:rsidRP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82775" w:rsidRP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филиала «</w:t>
      </w:r>
      <w:proofErr w:type="spellStart"/>
      <w:r w:rsid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АмЭС</w:t>
      </w:r>
      <w:proofErr w:type="spellEnd"/>
      <w:r w:rsid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6492" w:rsidRPr="003827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22FA" w:rsidRDefault="006122FA" w:rsidP="0083362D">
      <w:pPr>
        <w:widowControl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7E99" w:rsidRDefault="00C07E99" w:rsidP="0083362D">
      <w:pPr>
        <w:widowControl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Default="00EC4855" w:rsidP="0083362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53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C06492" w:rsidRPr="00E853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</w:t>
      </w:r>
      <w:r w:rsidR="00462635" w:rsidRPr="00E853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C06492" w:rsidRPr="00E853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выполнения рабочей документации:</w:t>
      </w:r>
    </w:p>
    <w:p w:rsidR="00C06492" w:rsidRPr="00462635" w:rsidRDefault="00C06492" w:rsidP="00C06492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626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Начало проектирования</w:t>
      </w:r>
      <w:r w:rsidRPr="004626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- с момента заключения договора. </w:t>
      </w:r>
    </w:p>
    <w:p w:rsidR="00C06492" w:rsidRDefault="00C06492" w:rsidP="00C06492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626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Окончание</w:t>
      </w:r>
      <w:r w:rsidRPr="004626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– </w:t>
      </w:r>
      <w:r w:rsidR="00AC3A0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30</w:t>
      </w:r>
      <w:r w:rsidR="00C81836" w:rsidRPr="004626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r w:rsidR="00304027" w:rsidRPr="004626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0</w:t>
      </w:r>
      <w:r w:rsidR="00446A0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8</w:t>
      </w:r>
      <w:r w:rsidR="00DB6670" w:rsidRPr="004626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.201</w:t>
      </w:r>
      <w:r w:rsidR="00304027" w:rsidRPr="004626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7</w:t>
      </w:r>
      <w:r w:rsidR="00DB6670" w:rsidRPr="004626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</w:p>
    <w:p w:rsidR="00462635" w:rsidRDefault="00462635" w:rsidP="00C06492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3362D" w:rsidRDefault="0083362D" w:rsidP="0083362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36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11.Исходные данные для разработки проекта.</w:t>
      </w:r>
    </w:p>
    <w:p w:rsidR="006122FA" w:rsidRPr="00C06492" w:rsidRDefault="006122FA" w:rsidP="006122FA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6122FA" w:rsidRPr="00C06492" w:rsidRDefault="00B00E22" w:rsidP="006122FA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месторасположение объекта.</w:t>
      </w:r>
    </w:p>
    <w:p w:rsidR="006122FA" w:rsidRPr="00C06492" w:rsidRDefault="006122FA" w:rsidP="006122FA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стеснен</w:t>
      </w:r>
      <w:r w:rsidR="00B00E22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условий производства работ.</w:t>
      </w:r>
    </w:p>
    <w:p w:rsidR="006122FA" w:rsidRPr="00C06492" w:rsidRDefault="006122FA" w:rsidP="006122FA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удаленн</w:t>
      </w:r>
      <w:r w:rsidR="00B00E2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ость от железнодорожных станций.</w:t>
      </w:r>
    </w:p>
    <w:p w:rsidR="006122FA" w:rsidRPr="00C06492" w:rsidRDefault="006122FA" w:rsidP="006122FA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дорог для доставки строительных конструкций и оборудования, людей, техники и т.д.</w:t>
      </w:r>
    </w:p>
    <w:p w:rsidR="006122FA" w:rsidRPr="00C06492" w:rsidRDefault="006122FA" w:rsidP="006122FA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расстояние от объекта до карьера пос</w:t>
      </w:r>
      <w:r w:rsidR="00B00E2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тавки ПГС, щебня, песка, грунта.</w:t>
      </w:r>
    </w:p>
    <w:p w:rsidR="006122FA" w:rsidRPr="00C06492" w:rsidRDefault="006122FA" w:rsidP="006122FA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расстояние выво</w:t>
      </w:r>
      <w:r w:rsidR="00B00E2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мусора, складирования грунта.</w:t>
      </w:r>
    </w:p>
    <w:p w:rsidR="0083362D" w:rsidRDefault="0083362D" w:rsidP="00C06492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D29AC" w:rsidRDefault="008D29AC" w:rsidP="00C06492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E904F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Приложение:</w:t>
      </w:r>
      <w:r w:rsidR="00CA138E" w:rsidRPr="00E904F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Требования к выполнению сметных расчетов на 4 л. в 1</w:t>
      </w:r>
      <w:r w:rsidR="00CA138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экз.</w:t>
      </w:r>
    </w:p>
    <w:p w:rsidR="00CA138E" w:rsidRPr="008D29AC" w:rsidRDefault="00CA138E" w:rsidP="00C06492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AC3A0B" w:rsidRPr="00C06492" w:rsidRDefault="00AC3A0B" w:rsidP="00C06492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AC3A0B" w:rsidRPr="00C06492" w:rsidSect="00E853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6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1"/>
  </w:num>
  <w:num w:numId="10">
    <w:abstractNumId w:val="28"/>
  </w:num>
  <w:num w:numId="11">
    <w:abstractNumId w:val="4"/>
  </w:num>
  <w:num w:numId="12">
    <w:abstractNumId w:val="25"/>
  </w:num>
  <w:num w:numId="13">
    <w:abstractNumId w:val="23"/>
  </w:num>
  <w:num w:numId="14">
    <w:abstractNumId w:val="27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2"/>
  </w:num>
  <w:num w:numId="21">
    <w:abstractNumId w:val="8"/>
  </w:num>
  <w:num w:numId="22">
    <w:abstractNumId w:val="16"/>
  </w:num>
  <w:num w:numId="23">
    <w:abstractNumId w:val="30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46292"/>
    <w:rsid w:val="000579D2"/>
    <w:rsid w:val="000806B8"/>
    <w:rsid w:val="00097086"/>
    <w:rsid w:val="000A245A"/>
    <w:rsid w:val="000A48AC"/>
    <w:rsid w:val="000B23DA"/>
    <w:rsid w:val="000D0745"/>
    <w:rsid w:val="000E472A"/>
    <w:rsid w:val="000E472C"/>
    <w:rsid w:val="0011177B"/>
    <w:rsid w:val="00163D9D"/>
    <w:rsid w:val="0017719A"/>
    <w:rsid w:val="001B6699"/>
    <w:rsid w:val="001D47F9"/>
    <w:rsid w:val="001F55E1"/>
    <w:rsid w:val="00207D43"/>
    <w:rsid w:val="00224440"/>
    <w:rsid w:val="0022466A"/>
    <w:rsid w:val="00237DC8"/>
    <w:rsid w:val="0024530E"/>
    <w:rsid w:val="0025463B"/>
    <w:rsid w:val="00262ABF"/>
    <w:rsid w:val="00270182"/>
    <w:rsid w:val="00273BAD"/>
    <w:rsid w:val="002745DF"/>
    <w:rsid w:val="00274AB6"/>
    <w:rsid w:val="00291E5A"/>
    <w:rsid w:val="002A67E8"/>
    <w:rsid w:val="002B3579"/>
    <w:rsid w:val="002D2483"/>
    <w:rsid w:val="002D345E"/>
    <w:rsid w:val="002E4F11"/>
    <w:rsid w:val="00304027"/>
    <w:rsid w:val="00307169"/>
    <w:rsid w:val="00321219"/>
    <w:rsid w:val="003434E0"/>
    <w:rsid w:val="00363A8D"/>
    <w:rsid w:val="00382775"/>
    <w:rsid w:val="003A646C"/>
    <w:rsid w:val="003C276F"/>
    <w:rsid w:val="003C3189"/>
    <w:rsid w:val="003C467D"/>
    <w:rsid w:val="003D491C"/>
    <w:rsid w:val="003E6FA0"/>
    <w:rsid w:val="0040240D"/>
    <w:rsid w:val="0042144E"/>
    <w:rsid w:val="00446A0C"/>
    <w:rsid w:val="00462635"/>
    <w:rsid w:val="00462A0A"/>
    <w:rsid w:val="00491964"/>
    <w:rsid w:val="00491EDD"/>
    <w:rsid w:val="004A6D90"/>
    <w:rsid w:val="004B0412"/>
    <w:rsid w:val="004B2EA5"/>
    <w:rsid w:val="005171B0"/>
    <w:rsid w:val="00525632"/>
    <w:rsid w:val="00526893"/>
    <w:rsid w:val="00554A1F"/>
    <w:rsid w:val="00567184"/>
    <w:rsid w:val="00582FEF"/>
    <w:rsid w:val="00591E2B"/>
    <w:rsid w:val="00597A47"/>
    <w:rsid w:val="005A736A"/>
    <w:rsid w:val="005E1216"/>
    <w:rsid w:val="005F3EAA"/>
    <w:rsid w:val="005F4BC1"/>
    <w:rsid w:val="006122FA"/>
    <w:rsid w:val="006536D4"/>
    <w:rsid w:val="00675775"/>
    <w:rsid w:val="00676876"/>
    <w:rsid w:val="006824D2"/>
    <w:rsid w:val="00691744"/>
    <w:rsid w:val="006A1806"/>
    <w:rsid w:val="006B1965"/>
    <w:rsid w:val="006D09A6"/>
    <w:rsid w:val="006D1E9F"/>
    <w:rsid w:val="006E490E"/>
    <w:rsid w:val="007126D6"/>
    <w:rsid w:val="0072439F"/>
    <w:rsid w:val="00733A3D"/>
    <w:rsid w:val="00735868"/>
    <w:rsid w:val="007361BA"/>
    <w:rsid w:val="007537AE"/>
    <w:rsid w:val="00757BE9"/>
    <w:rsid w:val="007A01AA"/>
    <w:rsid w:val="007A4A53"/>
    <w:rsid w:val="007A4F81"/>
    <w:rsid w:val="007B0BEF"/>
    <w:rsid w:val="007B1B0B"/>
    <w:rsid w:val="007B2A73"/>
    <w:rsid w:val="007C612F"/>
    <w:rsid w:val="0083362D"/>
    <w:rsid w:val="008369A0"/>
    <w:rsid w:val="008653FD"/>
    <w:rsid w:val="00876517"/>
    <w:rsid w:val="008C591A"/>
    <w:rsid w:val="008D29AC"/>
    <w:rsid w:val="008E690F"/>
    <w:rsid w:val="008F794C"/>
    <w:rsid w:val="00910148"/>
    <w:rsid w:val="0091688A"/>
    <w:rsid w:val="00967538"/>
    <w:rsid w:val="009829B9"/>
    <w:rsid w:val="00983378"/>
    <w:rsid w:val="009A04B4"/>
    <w:rsid w:val="009B5566"/>
    <w:rsid w:val="009B7EA6"/>
    <w:rsid w:val="009C0877"/>
    <w:rsid w:val="009C5820"/>
    <w:rsid w:val="00A211CC"/>
    <w:rsid w:val="00A630B4"/>
    <w:rsid w:val="00A95DFF"/>
    <w:rsid w:val="00AA2B2F"/>
    <w:rsid w:val="00AC3A0B"/>
    <w:rsid w:val="00AD3A8D"/>
    <w:rsid w:val="00AD5A09"/>
    <w:rsid w:val="00AD6D2C"/>
    <w:rsid w:val="00B00E22"/>
    <w:rsid w:val="00B26C09"/>
    <w:rsid w:val="00B4410E"/>
    <w:rsid w:val="00B51224"/>
    <w:rsid w:val="00B576D6"/>
    <w:rsid w:val="00B85F48"/>
    <w:rsid w:val="00B90DDC"/>
    <w:rsid w:val="00B92673"/>
    <w:rsid w:val="00B93060"/>
    <w:rsid w:val="00BA06DC"/>
    <w:rsid w:val="00BA3E90"/>
    <w:rsid w:val="00BB25F9"/>
    <w:rsid w:val="00BB42E1"/>
    <w:rsid w:val="00BD68AD"/>
    <w:rsid w:val="00C06492"/>
    <w:rsid w:val="00C07E99"/>
    <w:rsid w:val="00C2494E"/>
    <w:rsid w:val="00C66A79"/>
    <w:rsid w:val="00C671C3"/>
    <w:rsid w:val="00C72337"/>
    <w:rsid w:val="00C81836"/>
    <w:rsid w:val="00CA138E"/>
    <w:rsid w:val="00D00D84"/>
    <w:rsid w:val="00D1298C"/>
    <w:rsid w:val="00D2302E"/>
    <w:rsid w:val="00D278A4"/>
    <w:rsid w:val="00D348E6"/>
    <w:rsid w:val="00D468EE"/>
    <w:rsid w:val="00D54CD2"/>
    <w:rsid w:val="00D83A31"/>
    <w:rsid w:val="00D8476C"/>
    <w:rsid w:val="00DB6670"/>
    <w:rsid w:val="00DE48CA"/>
    <w:rsid w:val="00DF0EED"/>
    <w:rsid w:val="00DF333C"/>
    <w:rsid w:val="00DF6B3F"/>
    <w:rsid w:val="00E013C9"/>
    <w:rsid w:val="00E24253"/>
    <w:rsid w:val="00E65B3E"/>
    <w:rsid w:val="00E759BC"/>
    <w:rsid w:val="00E7674C"/>
    <w:rsid w:val="00E8108C"/>
    <w:rsid w:val="00E82A1B"/>
    <w:rsid w:val="00E85398"/>
    <w:rsid w:val="00E904F4"/>
    <w:rsid w:val="00E94783"/>
    <w:rsid w:val="00EA665E"/>
    <w:rsid w:val="00EB25D9"/>
    <w:rsid w:val="00EC4855"/>
    <w:rsid w:val="00F339DF"/>
    <w:rsid w:val="00F35A85"/>
    <w:rsid w:val="00F437A1"/>
    <w:rsid w:val="00F54031"/>
    <w:rsid w:val="00FA28CB"/>
    <w:rsid w:val="00FA514D"/>
    <w:rsid w:val="00FB165D"/>
    <w:rsid w:val="00FB25AD"/>
    <w:rsid w:val="00FB29A7"/>
    <w:rsid w:val="00FB3B60"/>
    <w:rsid w:val="00FD42E1"/>
    <w:rsid w:val="00FD7565"/>
    <w:rsid w:val="00FF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5D369-808A-4103-A6C9-D3EA95B77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Коротаева Татьяна Витальевна</cp:lastModifiedBy>
  <cp:revision>9</cp:revision>
  <cp:lastPrinted>2017-02-27T22:52:00Z</cp:lastPrinted>
  <dcterms:created xsi:type="dcterms:W3CDTF">2017-02-27T02:31:00Z</dcterms:created>
  <dcterms:modified xsi:type="dcterms:W3CDTF">2017-03-15T07:00:00Z</dcterms:modified>
</cp:coreProperties>
</file>