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975565">
        <w:rPr>
          <w:color w:val="000000"/>
          <w:sz w:val="22"/>
          <w:szCs w:val="22"/>
        </w:rPr>
        <w:t>и</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F6683D">
        <w:rPr>
          <w:color w:val="000000"/>
          <w:sz w:val="22"/>
          <w:szCs w:val="22"/>
        </w:rPr>
        <w:t>,</w:t>
      </w:r>
      <w:r w:rsidR="003E310D" w:rsidRPr="000E1472">
        <w:rPr>
          <w:color w:val="000000"/>
          <w:sz w:val="22"/>
          <w:szCs w:val="22"/>
        </w:rPr>
        <w:t xml:space="preserve"> </w:t>
      </w:r>
      <w:r w:rsidRPr="000E1472">
        <w:rPr>
          <w:color w:val="000000"/>
          <w:sz w:val="22"/>
          <w:szCs w:val="22"/>
        </w:rPr>
        <w:t xml:space="preserve"> являющ</w:t>
      </w:r>
      <w:r w:rsidR="00975565">
        <w:rPr>
          <w:color w:val="000000"/>
          <w:sz w:val="22"/>
          <w:szCs w:val="22"/>
        </w:rPr>
        <w:t>ей</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105EA6">
        <w:rPr>
          <w:color w:val="000000"/>
          <w:sz w:val="22"/>
          <w:szCs w:val="22"/>
        </w:rPr>
        <w:t>ям</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 xml:space="preserve">1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ополучателем (филиал АО «ДРСК»</w:t>
      </w:r>
      <w:r w:rsidR="00F6119A" w:rsidRPr="000E1472">
        <w:rPr>
          <w:color w:val="000000"/>
          <w:sz w:val="22"/>
          <w:szCs w:val="22"/>
        </w:rPr>
        <w:t xml:space="preserve"> </w:t>
      </w:r>
      <w:r w:rsidR="00105EA6">
        <w:rPr>
          <w:color w:val="000000"/>
          <w:sz w:val="22"/>
          <w:szCs w:val="22"/>
        </w:rPr>
        <w:t>«</w:t>
      </w:r>
      <w:r w:rsidR="00786202">
        <w:rPr>
          <w:color w:val="000000"/>
          <w:sz w:val="22"/>
          <w:szCs w:val="22"/>
        </w:rPr>
        <w:t>Хабаровские ЭС</w:t>
      </w:r>
      <w:r w:rsidR="00975565">
        <w:rPr>
          <w:color w:val="000000"/>
          <w:sz w:val="22"/>
          <w:szCs w:val="22"/>
        </w:rPr>
        <w:t>»</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r w:rsidR="00CC0C08">
        <w:rPr>
          <w:color w:val="000000"/>
          <w:sz w:val="22"/>
          <w:szCs w:val="22"/>
        </w:rPr>
        <w:t xml:space="preserve"> и </w:t>
      </w:r>
      <w:r w:rsidR="00CC0C08" w:rsidRPr="00CC0C08">
        <w:rPr>
          <w:rFonts w:eastAsia="Calibri"/>
          <w:sz w:val="22"/>
          <w:szCs w:val="22"/>
        </w:rPr>
        <w:t>подписания товарной накладной (ТОРГ-12)</w:t>
      </w:r>
      <w:r w:rsidRPr="00CC0C08">
        <w:rPr>
          <w:color w:val="000000"/>
          <w:sz w:val="22"/>
          <w:szCs w:val="22"/>
        </w:rPr>
        <w:t>.</w:t>
      </w:r>
    </w:p>
    <w:p w:rsidR="002C78E9" w:rsidRPr="000E1472" w:rsidRDefault="00D16A37"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Срок поставки Товара </w:t>
      </w:r>
      <w:r>
        <w:rPr>
          <w:color w:val="000000"/>
          <w:sz w:val="22"/>
          <w:szCs w:val="22"/>
        </w:rPr>
        <w:t>–</w:t>
      </w:r>
      <w:r w:rsidRPr="000E1472">
        <w:rPr>
          <w:color w:val="000000"/>
          <w:sz w:val="22"/>
          <w:szCs w:val="22"/>
        </w:rPr>
        <w:t xml:space="preserve"> </w:t>
      </w:r>
      <w:r w:rsidR="00A32BA3">
        <w:rPr>
          <w:b/>
          <w:color w:val="000000"/>
          <w:sz w:val="22"/>
          <w:szCs w:val="22"/>
        </w:rPr>
        <w:t>_______________</w:t>
      </w:r>
      <w:r w:rsidRPr="00975565">
        <w:rPr>
          <w:sz w:val="22"/>
          <w:szCs w:val="22"/>
        </w:rPr>
        <w:t>.</w:t>
      </w:r>
    </w:p>
    <w:p w:rsidR="002C78E9" w:rsidRPr="000E1472" w:rsidRDefault="002C78E9" w:rsidP="00E957EA">
      <w:pPr>
        <w:pStyle w:val="a8"/>
        <w:numPr>
          <w:ilvl w:val="0"/>
          <w:numId w:val="15"/>
        </w:numPr>
        <w:shd w:val="clear" w:color="auto" w:fill="FFFFFF"/>
        <w:tabs>
          <w:tab w:val="left" w:pos="709"/>
        </w:tabs>
        <w:ind w:left="0" w:firstLine="284"/>
        <w:jc w:val="both"/>
        <w:rPr>
          <w:sz w:val="22"/>
          <w:szCs w:val="22"/>
        </w:rPr>
      </w:pPr>
      <w:r w:rsidRPr="000E1472">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596077" w:rsidRDefault="00E42F69" w:rsidP="00E42F69">
      <w:pPr>
        <w:pStyle w:val="a8"/>
        <w:numPr>
          <w:ilvl w:val="0"/>
          <w:numId w:val="15"/>
        </w:numPr>
        <w:shd w:val="clear" w:color="auto" w:fill="FFFFFF"/>
        <w:tabs>
          <w:tab w:val="left" w:pos="709"/>
        </w:tabs>
        <w:ind w:left="0" w:firstLine="284"/>
        <w:jc w:val="both"/>
        <w:rPr>
          <w:sz w:val="22"/>
          <w:szCs w:val="22"/>
        </w:rPr>
      </w:pPr>
      <w:r w:rsidRPr="00596077">
        <w:rPr>
          <w:sz w:val="22"/>
          <w:szCs w:val="22"/>
        </w:rPr>
        <w:t>В случае поступления Товара без оригиналов документов,</w:t>
      </w:r>
      <w:r w:rsidR="003E5BF8" w:rsidRPr="00596077">
        <w:rPr>
          <w:sz w:val="22"/>
          <w:szCs w:val="22"/>
        </w:rPr>
        <w:t xml:space="preserve"> указанных в п.</w:t>
      </w:r>
      <w:r w:rsidR="00CC0C08" w:rsidRPr="00596077">
        <w:rPr>
          <w:sz w:val="22"/>
          <w:szCs w:val="22"/>
        </w:rPr>
        <w:t xml:space="preserve"> </w:t>
      </w:r>
      <w:r w:rsidR="00CC0C08" w:rsidRPr="00A05517">
        <w:rPr>
          <w:sz w:val="22"/>
          <w:szCs w:val="22"/>
        </w:rPr>
        <w:t>4.</w:t>
      </w:r>
      <w:r w:rsidR="00A05517" w:rsidRPr="00A05517">
        <w:rPr>
          <w:sz w:val="22"/>
          <w:szCs w:val="22"/>
        </w:rPr>
        <w:t>4.4</w:t>
      </w:r>
      <w:r w:rsidR="00A05517">
        <w:rPr>
          <w:sz w:val="22"/>
          <w:szCs w:val="22"/>
        </w:rPr>
        <w:t>.</w:t>
      </w:r>
      <w:r w:rsidR="003E5BF8" w:rsidRPr="00596077">
        <w:rPr>
          <w:sz w:val="22"/>
          <w:szCs w:val="22"/>
        </w:rPr>
        <w:t xml:space="preserve"> договора,</w:t>
      </w:r>
      <w:r w:rsidRPr="00596077">
        <w:rPr>
          <w:sz w:val="22"/>
          <w:szCs w:val="22"/>
        </w:rPr>
        <w:t xml:space="preserve"> Товар </w:t>
      </w:r>
      <w:proofErr w:type="gramStart"/>
      <w:r w:rsidRPr="00596077">
        <w:rPr>
          <w:sz w:val="22"/>
          <w:szCs w:val="22"/>
        </w:rPr>
        <w:t>принимается на ответственное хранение и считается</w:t>
      </w:r>
      <w:proofErr w:type="gramEnd"/>
      <w:r w:rsidRPr="00596077">
        <w:rPr>
          <w:sz w:val="22"/>
          <w:szCs w:val="22"/>
        </w:rPr>
        <w:t>,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0E1472">
        <w:rPr>
          <w:sz w:val="22"/>
          <w:szCs w:val="22"/>
        </w:rPr>
        <w:t xml:space="preserve">Поставляемый </w:t>
      </w:r>
      <w:r w:rsidRPr="000E1472">
        <w:rPr>
          <w:color w:val="000000"/>
          <w:sz w:val="22"/>
          <w:szCs w:val="22"/>
        </w:rPr>
        <w:t>Товар</w:t>
      </w:r>
      <w:r w:rsidRPr="000E1472">
        <w:rPr>
          <w:sz w:val="22"/>
          <w:szCs w:val="22"/>
        </w:rPr>
        <w:t xml:space="preserve"> должен быть свободным от любых прав третьих лиц.</w:t>
      </w:r>
    </w:p>
    <w:p w:rsidR="00D16A37" w:rsidRPr="000E1472" w:rsidRDefault="00D16A37" w:rsidP="00D16A37">
      <w:pPr>
        <w:pStyle w:val="a8"/>
        <w:widowControl w:val="0"/>
        <w:numPr>
          <w:ilvl w:val="0"/>
          <w:numId w:val="15"/>
        </w:numPr>
        <w:shd w:val="clear" w:color="auto" w:fill="FFFFFF"/>
        <w:tabs>
          <w:tab w:val="left" w:pos="851"/>
        </w:tabs>
        <w:autoSpaceDE w:val="0"/>
        <w:autoSpaceDN w:val="0"/>
        <w:adjustRightInd w:val="0"/>
        <w:ind w:left="0" w:firstLine="284"/>
        <w:jc w:val="both"/>
        <w:rPr>
          <w:sz w:val="22"/>
          <w:szCs w:val="22"/>
        </w:rPr>
      </w:pPr>
      <w:r w:rsidRPr="000E1472">
        <w:rPr>
          <w:color w:val="000000"/>
          <w:sz w:val="22"/>
          <w:szCs w:val="22"/>
        </w:rPr>
        <w:t>Риск случайной гибели Товара или случайной его порчи переходит на Покупателя с момента исполнения Поставщиком обязанности по поставке.</w:t>
      </w:r>
    </w:p>
    <w:p w:rsidR="00D16A37" w:rsidRPr="00CA2123" w:rsidRDefault="00D16A37" w:rsidP="00D16A37">
      <w:pPr>
        <w:pStyle w:val="a8"/>
        <w:numPr>
          <w:ilvl w:val="0"/>
          <w:numId w:val="15"/>
        </w:numPr>
        <w:shd w:val="clear" w:color="auto" w:fill="FFFFFF"/>
        <w:tabs>
          <w:tab w:val="left" w:pos="851"/>
        </w:tabs>
        <w:spacing w:after="240"/>
        <w:ind w:left="0" w:firstLine="284"/>
        <w:jc w:val="both"/>
        <w:rPr>
          <w:sz w:val="22"/>
          <w:szCs w:val="22"/>
        </w:rPr>
      </w:pPr>
      <w:r w:rsidRPr="000E1472">
        <w:rPr>
          <w:color w:val="000000"/>
          <w:sz w:val="22"/>
          <w:szCs w:val="22"/>
        </w:rPr>
        <w:t xml:space="preserve">Упаковка (тара) Товара должна </w:t>
      </w:r>
      <w:proofErr w:type="gramStart"/>
      <w:r w:rsidRPr="000E1472">
        <w:rPr>
          <w:color w:val="000000"/>
          <w:sz w:val="22"/>
          <w:szCs w:val="22"/>
        </w:rPr>
        <w:t>соответствовать  типу Товара  и обеспечивать</w:t>
      </w:r>
      <w:proofErr w:type="gramEnd"/>
      <w:r w:rsidRPr="000E1472">
        <w:rPr>
          <w:color w:val="000000"/>
          <w:sz w:val="22"/>
          <w:szCs w:val="22"/>
        </w:rPr>
        <w:t xml:space="preserve"> его сохранность во время перевозки.</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97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сертификат соответствия ГОСТу, ТУ, действующим на территории РФ, быть новым не ранее </w:t>
      </w:r>
      <w:r>
        <w:rPr>
          <w:sz w:val="22"/>
          <w:szCs w:val="22"/>
        </w:rPr>
        <w:t>4</w:t>
      </w:r>
      <w:r w:rsidRPr="000E1472">
        <w:rPr>
          <w:sz w:val="22"/>
          <w:szCs w:val="22"/>
        </w:rPr>
        <w:t xml:space="preserve"> квартала 201</w:t>
      </w:r>
      <w:r>
        <w:rPr>
          <w:sz w:val="22"/>
          <w:szCs w:val="22"/>
        </w:rPr>
        <w:t>6</w:t>
      </w:r>
      <w:r w:rsidRPr="000E1472">
        <w:rPr>
          <w:sz w:val="22"/>
          <w:szCs w:val="22"/>
        </w:rPr>
        <w:t xml:space="preserve"> г. выпуска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A32BA3">
        <w:rPr>
          <w:b/>
          <w:i/>
          <w:color w:val="000000"/>
          <w:sz w:val="22"/>
          <w:szCs w:val="22"/>
        </w:rPr>
        <w:t>_________</w:t>
      </w:r>
      <w:r w:rsidR="00CA2123" w:rsidRPr="00CA2123">
        <w:rPr>
          <w:color w:val="000000"/>
          <w:sz w:val="22"/>
          <w:szCs w:val="22"/>
        </w:rPr>
        <w:t xml:space="preserve"> со дня ввода в эксплуатацию</w:t>
      </w:r>
      <w:r w:rsidRPr="000E1472">
        <w:rPr>
          <w:color w:val="000000"/>
          <w:sz w:val="22"/>
          <w:szCs w:val="22"/>
        </w:rPr>
        <w:t xml:space="preserve">.  Время начала исчисления гарантийного срока – </w:t>
      </w:r>
      <w:r w:rsidR="00CA2123" w:rsidRPr="00CA2123">
        <w:rPr>
          <w:color w:val="000000"/>
          <w:sz w:val="22"/>
          <w:szCs w:val="22"/>
        </w:rPr>
        <w:t>со дня ввода</w:t>
      </w:r>
      <w:r w:rsidR="00CA2123">
        <w:rPr>
          <w:color w:val="000000"/>
          <w:sz w:val="22"/>
          <w:szCs w:val="22"/>
        </w:rPr>
        <w:t xml:space="preserve"> Товара</w:t>
      </w:r>
      <w:r w:rsidR="00CA2123" w:rsidRPr="00CA2123">
        <w:rPr>
          <w:color w:val="000000"/>
          <w:sz w:val="22"/>
          <w:szCs w:val="22"/>
        </w:rPr>
        <w:t xml:space="preserve"> в эксплуатацию</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w:t>
      </w:r>
      <w:r w:rsidRPr="000E1472">
        <w:rPr>
          <w:color w:val="000000"/>
          <w:sz w:val="22"/>
          <w:szCs w:val="22"/>
        </w:rPr>
        <w:lastRenderedPageBreak/>
        <w:t>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r w:rsidR="00CC0C08" w:rsidRPr="00A2453C">
        <w:rPr>
          <w:color w:val="000000"/>
          <w:sz w:val="22"/>
          <w:szCs w:val="22"/>
        </w:rPr>
        <w:t>Индексация цены договора не предусматривается.</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 xml:space="preserve">Расчет за поставленный Товар производится Покупателем в течение 60 (шестидесяти) календарных дней </w:t>
      </w:r>
      <w:proofErr w:type="gramStart"/>
      <w:r w:rsidRPr="00CC0C08">
        <w:rPr>
          <w:rFonts w:eastAsia="Calibri"/>
          <w:sz w:val="22"/>
          <w:szCs w:val="22"/>
        </w:rPr>
        <w:t>с даты подписания</w:t>
      </w:r>
      <w:proofErr w:type="gramEnd"/>
      <w:r w:rsidRPr="00CC0C08">
        <w:rPr>
          <w:rFonts w:eastAsia="Calibri"/>
          <w:sz w:val="22"/>
          <w:szCs w:val="22"/>
        </w:rPr>
        <w:t xml:space="preserve"> товарной накладной (ТОРГ-12)</w:t>
      </w:r>
      <w:r>
        <w:rPr>
          <w:rFonts w:eastAsia="Calibri"/>
          <w:b/>
          <w:i/>
          <w:sz w:val="22"/>
          <w:szCs w:val="22"/>
        </w:rPr>
        <w:t xml:space="preserve"> </w:t>
      </w:r>
      <w:r w:rsidRPr="00A2453C">
        <w:rPr>
          <w:color w:val="000000"/>
          <w:sz w:val="22"/>
          <w:szCs w:val="22"/>
        </w:rPr>
        <w:t xml:space="preserve"> на основании счета, выставленного Поставщиком.</w:t>
      </w:r>
    </w:p>
    <w:p w:rsidR="00A05517" w:rsidRPr="00CC0C08" w:rsidRDefault="00A05517" w:rsidP="00A05517">
      <w:pPr>
        <w:pStyle w:val="a8"/>
        <w:shd w:val="clear" w:color="auto" w:fill="FFFFFF"/>
        <w:tabs>
          <w:tab w:val="left" w:pos="953"/>
        </w:tabs>
        <w:ind w:left="0"/>
        <w:jc w:val="both"/>
        <w:rPr>
          <w:b/>
          <w:i/>
          <w:color w:val="FF0000"/>
          <w:sz w:val="22"/>
          <w:szCs w:val="22"/>
        </w:rPr>
      </w:pPr>
      <w:r w:rsidRPr="00CC0C08">
        <w:rPr>
          <w:b/>
          <w:i/>
          <w:color w:val="FF0000"/>
          <w:sz w:val="22"/>
          <w:szCs w:val="22"/>
        </w:rPr>
        <w:t xml:space="preserve">В случае заключения договора с субъектом малого и среднего предпринимательства, пункт 4.3. договора принимается в </w:t>
      </w:r>
      <w:proofErr w:type="gramStart"/>
      <w:r w:rsidRPr="00CC0C08">
        <w:rPr>
          <w:b/>
          <w:i/>
          <w:color w:val="FF0000"/>
          <w:sz w:val="22"/>
          <w:szCs w:val="22"/>
        </w:rPr>
        <w:t>следующей</w:t>
      </w:r>
      <w:proofErr w:type="gramEnd"/>
      <w:r w:rsidRPr="00CC0C08">
        <w:rPr>
          <w:b/>
          <w:i/>
          <w:color w:val="FF0000"/>
          <w:sz w:val="22"/>
          <w:szCs w:val="22"/>
        </w:rPr>
        <w:t xml:space="preserve"> редакции:</w:t>
      </w:r>
    </w:p>
    <w:p w:rsidR="00A05517" w:rsidRPr="00A05517" w:rsidRDefault="00A05517" w:rsidP="00A05517">
      <w:pPr>
        <w:pStyle w:val="a8"/>
        <w:widowControl w:val="0"/>
        <w:numPr>
          <w:ilvl w:val="1"/>
          <w:numId w:val="25"/>
        </w:numPr>
        <w:shd w:val="clear" w:color="auto" w:fill="FFFFFF"/>
        <w:tabs>
          <w:tab w:val="left" w:pos="709"/>
        </w:tabs>
        <w:autoSpaceDE w:val="0"/>
        <w:autoSpaceDN w:val="0"/>
        <w:adjustRightInd w:val="0"/>
        <w:ind w:left="0" w:firstLine="284"/>
        <w:jc w:val="both"/>
        <w:rPr>
          <w:color w:val="000000"/>
          <w:sz w:val="22"/>
          <w:szCs w:val="22"/>
        </w:rPr>
      </w:pPr>
      <w:r w:rsidRPr="00A05517">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05517">
        <w:rPr>
          <w:rFonts w:eastAsia="Calibri"/>
          <w:sz w:val="22"/>
          <w:szCs w:val="22"/>
        </w:rPr>
        <w:t>с даты подписания</w:t>
      </w:r>
      <w:proofErr w:type="gramEnd"/>
      <w:r w:rsidRPr="00A05517">
        <w:rPr>
          <w:rFonts w:eastAsia="Calibri"/>
          <w:sz w:val="22"/>
          <w:szCs w:val="22"/>
        </w:rPr>
        <w:t xml:space="preserve"> товарной накладной (ТОРГ-12)</w:t>
      </w:r>
      <w:r w:rsidRPr="00A05517">
        <w:rPr>
          <w:rFonts w:eastAsia="Calibri"/>
          <w:b/>
          <w:i/>
          <w:sz w:val="22"/>
          <w:szCs w:val="22"/>
        </w:rPr>
        <w:t xml:space="preserve"> </w:t>
      </w:r>
      <w:r w:rsidRPr="00A05517">
        <w:rPr>
          <w:color w:val="000000"/>
          <w:sz w:val="22"/>
          <w:szCs w:val="22"/>
        </w:rPr>
        <w:t xml:space="preserve"> на основании счета, выставленного Поставщиком.</w:t>
      </w:r>
    </w:p>
    <w:p w:rsidR="00A05517" w:rsidRPr="00A05517" w:rsidRDefault="00A05517" w:rsidP="00A05517">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05517">
        <w:rPr>
          <w:sz w:val="22"/>
          <w:szCs w:val="22"/>
        </w:rPr>
        <w:t xml:space="preserve">Порядок направления счетов/счетов-фактур и </w:t>
      </w:r>
      <w:r w:rsidRPr="00A05517">
        <w:rPr>
          <w:rFonts w:eastAsia="Calibri"/>
          <w:sz w:val="22"/>
          <w:szCs w:val="22"/>
        </w:rPr>
        <w:t>товарных накладных (ТОРГ-12)</w:t>
      </w:r>
      <w:r w:rsidRPr="00A05517">
        <w:rPr>
          <w:sz w:val="22"/>
          <w:szCs w:val="22"/>
        </w:rPr>
        <w:t xml:space="preserve"> Покупателю: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5517">
        <w:rPr>
          <w:sz w:val="22"/>
          <w:szCs w:val="22"/>
        </w:rPr>
        <w:t>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w:t>
      </w:r>
      <w:r w:rsidRPr="00A2453C">
        <w:rPr>
          <w:sz w:val="22"/>
          <w:szCs w:val="22"/>
        </w:rPr>
        <w:t xml:space="preserve"> течение 3 рабочих дней </w:t>
      </w:r>
      <w:proofErr w:type="gramStart"/>
      <w:r w:rsidRPr="00A2453C">
        <w:rPr>
          <w:sz w:val="22"/>
          <w:szCs w:val="22"/>
        </w:rPr>
        <w:t>с даты получения</w:t>
      </w:r>
      <w:proofErr w:type="gramEnd"/>
      <w:r w:rsidRPr="00A2453C">
        <w:rPr>
          <w:sz w:val="22"/>
          <w:szCs w:val="22"/>
        </w:rPr>
        <w:t xml:space="preserve"> соответствующего письменного требования Покупателя.</w:t>
      </w:r>
    </w:p>
    <w:p w:rsidR="00A05517" w:rsidRPr="00CC0C08" w:rsidRDefault="00A05517" w:rsidP="00A05517">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EF44BF">
        <w:rPr>
          <w:b/>
          <w:sz w:val="22"/>
          <w:szCs w:val="22"/>
        </w:rPr>
        <w:t>4.4.</w:t>
      </w:r>
      <w:r>
        <w:rPr>
          <w:b/>
          <w:sz w:val="22"/>
          <w:szCs w:val="22"/>
        </w:rPr>
        <w:t>5</w:t>
      </w:r>
      <w:r w:rsidRPr="00EF44BF">
        <w:rPr>
          <w:b/>
          <w:sz w:val="22"/>
          <w:szCs w:val="22"/>
        </w:rPr>
        <w:t>.</w:t>
      </w:r>
      <w:r w:rsidRPr="00A2453C">
        <w:rPr>
          <w:sz w:val="22"/>
          <w:szCs w:val="22"/>
        </w:rPr>
        <w:t xml:space="preserve"> Выставленные</w:t>
      </w:r>
      <w:r>
        <w:rPr>
          <w:sz w:val="22"/>
          <w:szCs w:val="22"/>
        </w:rPr>
        <w:t xml:space="preserve"> </w:t>
      </w:r>
      <w:r w:rsidRPr="00A05517">
        <w:rPr>
          <w:sz w:val="22"/>
          <w:szCs w:val="22"/>
        </w:rPr>
        <w:t>оригиналы счета-фактуры (с обязательным указанием КПП грузополучателя) и товарной накладной на То</w:t>
      </w:r>
      <w:r w:rsidRPr="00A2453C">
        <w:rPr>
          <w:sz w:val="22"/>
          <w:szCs w:val="22"/>
        </w:rPr>
        <w:t>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CC0C08" w:rsidRDefault="00CC0C08" w:rsidP="00CC0C08">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асчетного счета Покупателя.</w:t>
      </w:r>
    </w:p>
    <w:p w:rsidR="00A05517"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CC0C08">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A05517">
        <w:rPr>
          <w:color w:val="000000"/>
          <w:sz w:val="22"/>
          <w:szCs w:val="22"/>
        </w:rPr>
        <w:t xml:space="preserve">Сверка взаиморасчетов производится на основании платежных и отгрузочных документов, результаты </w:t>
      </w:r>
      <w:r w:rsidRPr="00A05517">
        <w:rPr>
          <w:color w:val="000000"/>
          <w:sz w:val="22"/>
          <w:szCs w:val="22"/>
        </w:rPr>
        <w:lastRenderedPageBreak/>
        <w:t>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786202" w:rsidRDefault="000E1472" w:rsidP="00BB1C88">
      <w:pPr>
        <w:ind w:firstLine="284"/>
        <w:jc w:val="both"/>
        <w:rPr>
          <w:color w:val="000000"/>
          <w:sz w:val="22"/>
          <w:szCs w:val="22"/>
        </w:rPr>
      </w:pPr>
      <w:r w:rsidRPr="00786202">
        <w:rPr>
          <w:b/>
          <w:color w:val="000000"/>
          <w:sz w:val="22"/>
          <w:szCs w:val="22"/>
        </w:rPr>
        <w:t>5</w:t>
      </w:r>
      <w:r w:rsidR="000F47AE" w:rsidRPr="00786202">
        <w:rPr>
          <w:b/>
          <w:color w:val="000000"/>
          <w:sz w:val="22"/>
          <w:szCs w:val="22"/>
        </w:rPr>
        <w:t>.</w:t>
      </w:r>
      <w:r w:rsidR="0078412F" w:rsidRPr="00786202">
        <w:rPr>
          <w:b/>
          <w:color w:val="000000"/>
          <w:sz w:val="22"/>
          <w:szCs w:val="22"/>
        </w:rPr>
        <w:t>1</w:t>
      </w:r>
      <w:r w:rsidR="000F47AE" w:rsidRPr="00786202">
        <w:rPr>
          <w:color w:val="000000"/>
          <w:sz w:val="22"/>
          <w:szCs w:val="22"/>
        </w:rPr>
        <w:t xml:space="preserve">. </w:t>
      </w:r>
      <w:r w:rsidR="00A05517" w:rsidRPr="00A2453C">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0F47AE" w:rsidRPr="00786202" w:rsidRDefault="000E1472" w:rsidP="000F47AE">
      <w:pPr>
        <w:ind w:firstLine="284"/>
        <w:jc w:val="both"/>
        <w:rPr>
          <w:color w:val="000000"/>
          <w:sz w:val="22"/>
          <w:szCs w:val="22"/>
        </w:rPr>
      </w:pPr>
      <w:r w:rsidRPr="00786202">
        <w:rPr>
          <w:b/>
          <w:color w:val="000000"/>
          <w:sz w:val="22"/>
          <w:szCs w:val="22"/>
        </w:rPr>
        <w:t>5</w:t>
      </w:r>
      <w:r w:rsidR="004F058C" w:rsidRPr="00786202">
        <w:rPr>
          <w:b/>
          <w:color w:val="000000"/>
          <w:sz w:val="22"/>
          <w:szCs w:val="22"/>
        </w:rPr>
        <w:t>.2</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A05517" w:rsidRPr="00A2453C">
        <w:rPr>
          <w:bCs/>
          <w:color w:val="000000"/>
          <w:sz w:val="22"/>
          <w:szCs w:val="22"/>
        </w:rPr>
        <w:t xml:space="preserve">При этом Покупатель также вправе возвратить </w:t>
      </w:r>
      <w:r w:rsidR="00A05517" w:rsidRPr="00A2453C">
        <w:rPr>
          <w:color w:val="000000"/>
          <w:sz w:val="22"/>
          <w:szCs w:val="22"/>
        </w:rPr>
        <w:t>Поставщику Товар</w:t>
      </w:r>
      <w:r w:rsidR="00A05517" w:rsidRPr="00A2453C">
        <w:rPr>
          <w:bCs/>
          <w:color w:val="000000"/>
          <w:sz w:val="22"/>
          <w:szCs w:val="22"/>
        </w:rPr>
        <w:t>, ранее принятый по договору, и потребовать возврата уплаченных денежных средств.</w:t>
      </w:r>
      <w:r w:rsidR="000F47AE" w:rsidRPr="00786202">
        <w:rPr>
          <w:color w:val="000000"/>
          <w:sz w:val="22"/>
          <w:szCs w:val="22"/>
        </w:rPr>
        <w:t xml:space="preserve"> </w:t>
      </w:r>
    </w:p>
    <w:p w:rsidR="000F47AE" w:rsidRPr="00786202" w:rsidRDefault="000E1472" w:rsidP="000F47AE">
      <w:pPr>
        <w:ind w:firstLine="284"/>
        <w:jc w:val="both"/>
        <w:rPr>
          <w:color w:val="000000"/>
          <w:sz w:val="22"/>
          <w:szCs w:val="22"/>
          <w:highlight w:val="yellow"/>
        </w:rPr>
      </w:pPr>
      <w:r w:rsidRPr="00786202">
        <w:rPr>
          <w:b/>
          <w:color w:val="000000"/>
          <w:sz w:val="22"/>
          <w:szCs w:val="22"/>
        </w:rPr>
        <w:t>5</w:t>
      </w:r>
      <w:r w:rsidR="004F058C" w:rsidRPr="00786202">
        <w:rPr>
          <w:b/>
          <w:color w:val="000000"/>
          <w:sz w:val="22"/>
          <w:szCs w:val="22"/>
        </w:rPr>
        <w:t>.3</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670BE" w:rsidRPr="009670BE" w:rsidRDefault="000E1472" w:rsidP="009670BE">
      <w:pPr>
        <w:pStyle w:val="Default"/>
        <w:ind w:firstLine="284"/>
        <w:jc w:val="both"/>
      </w:pPr>
      <w:r w:rsidRPr="009670BE">
        <w:rPr>
          <w:b/>
          <w:sz w:val="22"/>
          <w:szCs w:val="22"/>
        </w:rPr>
        <w:t>5</w:t>
      </w:r>
      <w:r w:rsidR="000F47AE" w:rsidRPr="009670BE">
        <w:rPr>
          <w:b/>
          <w:sz w:val="22"/>
          <w:szCs w:val="22"/>
        </w:rPr>
        <w:t>.</w:t>
      </w:r>
      <w:r w:rsidR="004F058C" w:rsidRPr="009670BE">
        <w:rPr>
          <w:b/>
          <w:sz w:val="22"/>
          <w:szCs w:val="22"/>
        </w:rPr>
        <w:t>4</w:t>
      </w:r>
      <w:r w:rsidR="000F47AE" w:rsidRPr="009670BE">
        <w:rPr>
          <w:b/>
          <w:sz w:val="22"/>
          <w:szCs w:val="22"/>
        </w:rPr>
        <w:t>.</w:t>
      </w:r>
      <w:r w:rsidR="000F47AE" w:rsidRPr="009670BE">
        <w:rPr>
          <w:sz w:val="22"/>
          <w:szCs w:val="22"/>
        </w:rPr>
        <w:t xml:space="preserve"> </w:t>
      </w:r>
      <w:r w:rsidR="00A05517" w:rsidRPr="00A2453C">
        <w:rPr>
          <w:sz w:val="22"/>
          <w:szCs w:val="22"/>
        </w:rPr>
        <w:t>Если в результате составления и выставления Поставщиком счета-фактуры</w:t>
      </w:r>
      <w:r w:rsidR="00A05517">
        <w:rPr>
          <w:sz w:val="22"/>
          <w:szCs w:val="22"/>
        </w:rPr>
        <w:t xml:space="preserve"> </w:t>
      </w:r>
      <w:r w:rsidR="00A05517">
        <w:rPr>
          <w:sz w:val="22"/>
          <w:szCs w:val="22"/>
          <w:highlight w:val="yellow"/>
        </w:rPr>
        <w:t>и</w:t>
      </w:r>
      <w:r w:rsidR="00A05517" w:rsidRPr="0083440A">
        <w:rPr>
          <w:sz w:val="22"/>
          <w:szCs w:val="22"/>
          <w:highlight w:val="yellow"/>
        </w:rPr>
        <w:t xml:space="preserve"> товарн</w:t>
      </w:r>
      <w:r w:rsidR="00A05517">
        <w:rPr>
          <w:sz w:val="22"/>
          <w:szCs w:val="22"/>
          <w:highlight w:val="yellow"/>
        </w:rPr>
        <w:t>ой</w:t>
      </w:r>
      <w:r w:rsidR="00A05517" w:rsidRPr="0083440A">
        <w:rPr>
          <w:sz w:val="22"/>
          <w:szCs w:val="22"/>
          <w:highlight w:val="yellow"/>
        </w:rPr>
        <w:t xml:space="preserve"> накладн</w:t>
      </w:r>
      <w:r w:rsidR="00A05517" w:rsidRPr="00C1435D">
        <w:rPr>
          <w:sz w:val="22"/>
          <w:szCs w:val="22"/>
          <w:highlight w:val="yellow"/>
        </w:rPr>
        <w:t>ой</w:t>
      </w:r>
      <w:r w:rsidR="00A05517" w:rsidRPr="00A2453C">
        <w:rPr>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A05517" w:rsidRPr="00A2453C">
        <w:rPr>
          <w:sz w:val="22"/>
          <w:szCs w:val="22"/>
        </w:rPr>
        <w:t>с даты получения</w:t>
      </w:r>
      <w:proofErr w:type="gramEnd"/>
      <w:r w:rsidR="00A05517" w:rsidRPr="00A2453C">
        <w:rPr>
          <w:sz w:val="22"/>
          <w:szCs w:val="22"/>
        </w:rPr>
        <w:t xml:space="preserve"> соответствующего письменного требования Покупателя. В случае нарушения Поставщиком сроков, предусмотренных п. 4.4.</w:t>
      </w:r>
      <w:r w:rsidR="00A05517">
        <w:rPr>
          <w:sz w:val="22"/>
          <w:szCs w:val="22"/>
        </w:rPr>
        <w:t>4.</w:t>
      </w:r>
      <w:r w:rsidR="00A05517" w:rsidRPr="00A2453C">
        <w:rPr>
          <w:sz w:val="22"/>
          <w:szCs w:val="22"/>
        </w:rPr>
        <w:t xml:space="preserve">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r w:rsidR="009670BE" w:rsidRPr="009670BE">
        <w:t xml:space="preserve"> </w:t>
      </w:r>
    </w:p>
    <w:p w:rsidR="00A05517" w:rsidRPr="00A05517" w:rsidRDefault="000E1472" w:rsidP="00A05517">
      <w:pPr>
        <w:tabs>
          <w:tab w:val="left" w:pos="284"/>
        </w:tabs>
        <w:ind w:firstLine="284"/>
        <w:jc w:val="both"/>
        <w:rPr>
          <w:color w:val="000000"/>
          <w:sz w:val="22"/>
          <w:szCs w:val="22"/>
        </w:rPr>
      </w:pPr>
      <w:r w:rsidRPr="00A05517">
        <w:rPr>
          <w:b/>
          <w:color w:val="000000"/>
          <w:sz w:val="22"/>
          <w:szCs w:val="22"/>
        </w:rPr>
        <w:t>5</w:t>
      </w:r>
      <w:r w:rsidR="000F47AE" w:rsidRPr="00A05517">
        <w:rPr>
          <w:b/>
          <w:color w:val="000000"/>
          <w:sz w:val="22"/>
          <w:szCs w:val="22"/>
        </w:rPr>
        <w:t>.</w:t>
      </w:r>
      <w:r w:rsidR="004F058C" w:rsidRPr="00A05517">
        <w:rPr>
          <w:b/>
          <w:color w:val="000000"/>
          <w:sz w:val="22"/>
          <w:szCs w:val="22"/>
        </w:rPr>
        <w:t>5</w:t>
      </w:r>
      <w:r w:rsidR="000F47AE" w:rsidRPr="00A05517">
        <w:rPr>
          <w:b/>
          <w:color w:val="000000"/>
          <w:sz w:val="22"/>
          <w:szCs w:val="22"/>
        </w:rPr>
        <w:t>.</w:t>
      </w:r>
      <w:r w:rsidR="000F47AE" w:rsidRPr="00A05517">
        <w:rPr>
          <w:color w:val="000000"/>
          <w:sz w:val="22"/>
          <w:szCs w:val="22"/>
        </w:rPr>
        <w:t xml:space="preserve"> </w:t>
      </w:r>
      <w:r w:rsidR="00A05517" w:rsidRPr="00A05517">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A05517" w:rsidRPr="00A05517">
        <w:rPr>
          <w:sz w:val="22"/>
          <w:szCs w:val="22"/>
        </w:rPr>
        <w:t xml:space="preserve">убытки в полной сумме сверх неустойки, в том числе упущенную выгоду. </w:t>
      </w:r>
    </w:p>
    <w:p w:rsidR="000F47AE" w:rsidRDefault="000E1472" w:rsidP="00A05517">
      <w:pPr>
        <w:pStyle w:val="a8"/>
        <w:tabs>
          <w:tab w:val="left" w:pos="0"/>
        </w:tabs>
        <w:ind w:left="0" w:firstLine="284"/>
        <w:jc w:val="both"/>
        <w:rPr>
          <w:color w:val="000000"/>
          <w:sz w:val="22"/>
          <w:szCs w:val="22"/>
        </w:rPr>
      </w:pPr>
      <w:r w:rsidRPr="00786202">
        <w:rPr>
          <w:b/>
          <w:color w:val="000000"/>
          <w:sz w:val="22"/>
          <w:szCs w:val="22"/>
        </w:rPr>
        <w:t>5</w:t>
      </w:r>
      <w:r w:rsidR="000F47AE" w:rsidRPr="00786202">
        <w:rPr>
          <w:b/>
          <w:color w:val="000000"/>
          <w:sz w:val="22"/>
          <w:szCs w:val="22"/>
        </w:rPr>
        <w:t>.</w:t>
      </w:r>
      <w:r w:rsidR="004F058C" w:rsidRPr="00786202">
        <w:rPr>
          <w:b/>
          <w:color w:val="000000"/>
          <w:sz w:val="22"/>
          <w:szCs w:val="22"/>
        </w:rPr>
        <w:t>6</w:t>
      </w:r>
      <w:r w:rsidR="000F47AE" w:rsidRPr="00786202">
        <w:rPr>
          <w:color w:val="000000"/>
          <w:sz w:val="22"/>
          <w:szCs w:val="22"/>
        </w:rPr>
        <w:t>.</w:t>
      </w:r>
      <w:r w:rsidR="00975565" w:rsidRPr="00786202">
        <w:rPr>
          <w:color w:val="000000"/>
          <w:sz w:val="22"/>
          <w:szCs w:val="22"/>
        </w:rPr>
        <w:t xml:space="preserve"> </w:t>
      </w:r>
      <w:r w:rsidR="00A05517"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A05517" w:rsidRPr="00A2453C">
        <w:rPr>
          <w:color w:val="000000"/>
        </w:rPr>
        <w:t>.</w:t>
      </w:r>
    </w:p>
    <w:p w:rsidR="00A05517" w:rsidRPr="00A05517" w:rsidRDefault="005A369C" w:rsidP="00A05517">
      <w:pPr>
        <w:tabs>
          <w:tab w:val="left" w:pos="284"/>
        </w:tabs>
        <w:ind w:firstLine="284"/>
        <w:jc w:val="both"/>
        <w:rPr>
          <w:color w:val="000000"/>
          <w:sz w:val="22"/>
          <w:szCs w:val="22"/>
        </w:rPr>
      </w:pPr>
      <w:r w:rsidRPr="00A05517">
        <w:rPr>
          <w:b/>
          <w:color w:val="000000"/>
          <w:sz w:val="22"/>
          <w:szCs w:val="22"/>
        </w:rPr>
        <w:t>5.7.</w:t>
      </w:r>
      <w:r w:rsidRPr="00A05517">
        <w:rPr>
          <w:color w:val="000000"/>
          <w:sz w:val="22"/>
          <w:szCs w:val="22"/>
        </w:rPr>
        <w:t xml:space="preserve"> </w:t>
      </w:r>
      <w:r w:rsidR="00A05517" w:rsidRPr="00A05517">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5A369C" w:rsidRPr="000E1472" w:rsidRDefault="005A369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lastRenderedPageBreak/>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r w:rsidR="005A369C">
        <w:rPr>
          <w:color w:val="000000"/>
          <w:sz w:val="22"/>
          <w:szCs w:val="22"/>
        </w:rPr>
        <w:t xml:space="preserve"> и </w:t>
      </w:r>
      <w:r w:rsidR="005A369C" w:rsidRPr="005A369C">
        <w:rPr>
          <w:rFonts w:eastAsia="Calibri"/>
          <w:sz w:val="22"/>
          <w:szCs w:val="22"/>
        </w:rPr>
        <w:t>подписания товарной накладной (ТОРГ-12)</w:t>
      </w:r>
      <w:r w:rsidR="002C78E9" w:rsidRPr="005A369C">
        <w:rPr>
          <w:color w:val="000000"/>
          <w:sz w:val="22"/>
          <w:szCs w:val="22"/>
        </w:rPr>
        <w:t>.</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 xml:space="preserve">.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.2</w:t>
      </w:r>
      <w:r w:rsidR="000A0023" w:rsidRPr="000E1472">
        <w:rPr>
          <w:b/>
          <w:sz w:val="22"/>
          <w:szCs w:val="22"/>
        </w:rPr>
        <w:t>.</w:t>
      </w:r>
      <w:r w:rsidR="00224D07" w:rsidRPr="000E1472">
        <w:rPr>
          <w:sz w:val="22"/>
          <w:szCs w:val="22"/>
        </w:rPr>
        <w:t xml:space="preserve"> соблюдать требования законодательства РФ об инсайдерской информации и манипулировании рынком</w:t>
      </w:r>
      <w:r w:rsidR="0015355C" w:rsidRPr="000E1472">
        <w:rPr>
          <w:sz w:val="22"/>
          <w:szCs w:val="22"/>
        </w:rPr>
        <w:t>.</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.1</w:t>
      </w:r>
      <w:r w:rsidR="00A05517">
        <w:rPr>
          <w:b/>
          <w:sz w:val="22"/>
          <w:szCs w:val="22"/>
        </w:rPr>
        <w:t>0</w:t>
      </w:r>
      <w:r w:rsidR="0015355C" w:rsidRPr="00725ADA">
        <w:rPr>
          <w:b/>
          <w:sz w:val="22"/>
          <w:szCs w:val="22"/>
        </w:rPr>
        <w:t xml:space="preserve">. </w:t>
      </w:r>
      <w:r w:rsidR="0015355C" w:rsidRPr="00725ADA">
        <w:rPr>
          <w:b/>
          <w:sz w:val="22"/>
          <w:szCs w:val="22"/>
        </w:rPr>
        <w:tab/>
      </w:r>
      <w:r w:rsidR="00A05517"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bookmarkStart w:id="0" w:name="_GoBack"/>
      <w:bookmarkEnd w:id="0"/>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19504D">
          <w:pgSz w:w="11906" w:h="16838" w:code="9"/>
          <w:pgMar w:top="426" w:right="424" w:bottom="709" w:left="993"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065355" w:rsidP="00065355">
      <w:pPr>
        <w:shd w:val="clear" w:color="auto" w:fill="FFFFFF"/>
        <w:spacing w:before="2"/>
        <w:jc w:val="both"/>
        <w:rPr>
          <w:b/>
          <w:u w:val="single"/>
        </w:rPr>
      </w:pPr>
    </w:p>
    <w:p w:rsidR="00786202" w:rsidRDefault="00786202" w:rsidP="00786202">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w:t>
      </w:r>
      <w:r w:rsidRPr="00EE6E7F">
        <w:rPr>
          <w:b/>
          <w:i/>
        </w:rPr>
        <w:t>для СП «Центральные электрические сети» г. Хабаровск</w:t>
      </w:r>
    </w:p>
    <w:p w:rsidR="00786202" w:rsidRPr="0019504D" w:rsidRDefault="00786202" w:rsidP="00786202">
      <w:pPr>
        <w:spacing w:after="200"/>
        <w:contextualSpacing/>
        <w:rPr>
          <w:b/>
          <w:i/>
          <w:lang w:eastAsia="en-US"/>
        </w:rPr>
      </w:pPr>
      <w:r w:rsidRPr="0019504D">
        <w:rPr>
          <w:b/>
          <w:i/>
          <w:color w:val="000000"/>
          <w:spacing w:val="-1"/>
        </w:rPr>
        <w:t>ИНН/КПП 2801108200/272402001</w:t>
      </w:r>
    </w:p>
    <w:p w:rsidR="00786202" w:rsidRPr="009940A6" w:rsidRDefault="00786202" w:rsidP="00786202">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786202" w:rsidRPr="009940A6" w:rsidRDefault="00786202" w:rsidP="00786202">
      <w:pPr>
        <w:shd w:val="clear" w:color="auto" w:fill="FFFFFF"/>
        <w:spacing w:line="230" w:lineRule="exact"/>
        <w:ind w:left="11"/>
        <w:rPr>
          <w:color w:val="000000"/>
          <w:spacing w:val="-1"/>
        </w:rPr>
      </w:pPr>
      <w:r w:rsidRPr="009940A6">
        <w:rPr>
          <w:color w:val="000000"/>
          <w:spacing w:val="-1"/>
        </w:rPr>
        <w:t>Станция Хабаровск-2 ДВЖД,  код - 970001</w:t>
      </w:r>
    </w:p>
    <w:p w:rsidR="00786202" w:rsidRPr="009940A6" w:rsidRDefault="00786202" w:rsidP="00786202">
      <w:pPr>
        <w:widowControl w:val="0"/>
        <w:autoSpaceDE w:val="0"/>
        <w:autoSpaceDN w:val="0"/>
        <w:adjustRightInd w:val="0"/>
        <w:ind w:right="-566"/>
        <w:rPr>
          <w:color w:val="000000"/>
          <w:spacing w:val="-1"/>
        </w:rPr>
      </w:pPr>
      <w:r w:rsidRPr="009940A6">
        <w:t>Код предприятия – 9531, ОКПО – 98097847</w:t>
      </w:r>
    </w:p>
    <w:p w:rsidR="00786202" w:rsidRPr="009940A6" w:rsidRDefault="00786202" w:rsidP="00786202">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786202" w:rsidRDefault="00786202" w:rsidP="00786202">
      <w:pPr>
        <w:rPr>
          <w:color w:val="000000"/>
          <w:spacing w:val="-1"/>
        </w:rPr>
      </w:pPr>
      <w:r w:rsidRPr="009940A6">
        <w:rPr>
          <w:color w:val="000000"/>
          <w:spacing w:val="-1"/>
        </w:rPr>
        <w:t xml:space="preserve">680009, г. Хабаровск, ул. </w:t>
      </w:r>
      <w:proofErr w:type="gramStart"/>
      <w:r w:rsidRPr="009940A6">
        <w:rPr>
          <w:color w:val="000000"/>
          <w:spacing w:val="-1"/>
        </w:rPr>
        <w:t>Промышленная</w:t>
      </w:r>
      <w:proofErr w:type="gramEnd"/>
      <w:r w:rsidRPr="009940A6">
        <w:rPr>
          <w:color w:val="000000"/>
          <w:spacing w:val="-1"/>
        </w:rPr>
        <w:t xml:space="preserve"> 13</w:t>
      </w:r>
    </w:p>
    <w:p w:rsidR="00786202" w:rsidRDefault="00786202" w:rsidP="00786202">
      <w:pPr>
        <w:rPr>
          <w:b/>
        </w:rPr>
      </w:pPr>
    </w:p>
    <w:p w:rsidR="002C78E9" w:rsidRPr="000E1472" w:rsidRDefault="00786202" w:rsidP="00786202">
      <w:pPr>
        <w:ind w:right="-566"/>
        <w:rPr>
          <w:color w:val="000000"/>
          <w:sz w:val="22"/>
          <w:szCs w:val="22"/>
        </w:rPr>
      </w:pPr>
      <w:r w:rsidRPr="00FF38FC">
        <w:rPr>
          <w:b/>
        </w:rPr>
        <w:t>Контактное лицо:</w:t>
      </w:r>
      <w:r w:rsidRPr="00FF38FC">
        <w:t xml:space="preserve"> </w:t>
      </w:r>
    </w:p>
    <w:p w:rsidR="002C78E9" w:rsidRPr="000E1472"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48262C" w:rsidRPr="000E1472" w:rsidRDefault="0048262C" w:rsidP="00975565">
      <w:pPr>
        <w:tabs>
          <w:tab w:val="left" w:pos="1725"/>
        </w:tabs>
        <w:rPr>
          <w:b/>
          <w:sz w:val="22"/>
          <w:szCs w:val="22"/>
        </w:rPr>
        <w:sectPr w:rsidR="0048262C" w:rsidRPr="000E1472" w:rsidSect="00085163">
          <w:pgSz w:w="11906" w:h="16838" w:code="9"/>
          <w:pgMar w:top="568" w:right="566" w:bottom="709" w:left="993"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085163">
          <w:pgSz w:w="16838" w:h="11906" w:orient="landscape" w:code="9"/>
          <w:pgMar w:top="709" w:right="566" w:bottom="851" w:left="993"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п.п.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085163">
          <w:pgSz w:w="11906" w:h="16838"/>
          <w:pgMar w:top="1134" w:right="566" w:bottom="1134" w:left="993"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37DCA" w:rsidRPr="000E1472" w:rsidRDefault="00C37DCA" w:rsidP="0064486E">
      <w:pPr>
        <w:jc w:val="both"/>
        <w:rPr>
          <w:sz w:val="22"/>
          <w:szCs w:val="22"/>
        </w:rPr>
      </w:pPr>
      <w:r w:rsidRPr="000E1472">
        <w:rPr>
          <w:sz w:val="22"/>
          <w:szCs w:val="22"/>
        </w:rPr>
        <w:t>1. Специализированной формы обратной связи «Линия доверия» на сайте по адресу в Интернете: http://www.rao-esv.ru/fraud</w:t>
      </w:r>
    </w:p>
    <w:p w:rsidR="00C37DCA" w:rsidRPr="000E1472" w:rsidRDefault="00C37DCA" w:rsidP="0064486E">
      <w:pPr>
        <w:jc w:val="both"/>
        <w:rPr>
          <w:sz w:val="22"/>
          <w:szCs w:val="22"/>
        </w:rPr>
      </w:pPr>
      <w:r w:rsidRPr="000E1472">
        <w:rPr>
          <w:sz w:val="22"/>
          <w:szCs w:val="22"/>
        </w:rPr>
        <w:t xml:space="preserve">2.Электронной почты на адрес: fraud@rao-esv.ru </w:t>
      </w:r>
    </w:p>
    <w:p w:rsidR="00C37DCA" w:rsidRPr="000E1472" w:rsidRDefault="00C37DCA" w:rsidP="0064486E">
      <w:pPr>
        <w:tabs>
          <w:tab w:val="left" w:pos="284"/>
        </w:tabs>
        <w:jc w:val="both"/>
        <w:rPr>
          <w:sz w:val="22"/>
          <w:szCs w:val="22"/>
        </w:rPr>
      </w:pPr>
      <w:r w:rsidRPr="000E1472">
        <w:rPr>
          <w:sz w:val="22"/>
          <w:szCs w:val="22"/>
        </w:rPr>
        <w:t>3.Обращения на телефонный автоответчик по номеру + 7 (495) 287-67-05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085163">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BC6" w:rsidRDefault="00565BC6" w:rsidP="00070A4C">
      <w:r>
        <w:separator/>
      </w:r>
    </w:p>
  </w:endnote>
  <w:endnote w:type="continuationSeparator" w:id="0">
    <w:p w:rsidR="00565BC6" w:rsidRDefault="00565BC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BC6" w:rsidRDefault="00565BC6" w:rsidP="00070A4C">
      <w:r>
        <w:separator/>
      </w:r>
    </w:p>
  </w:footnote>
  <w:footnote w:type="continuationSeparator" w:id="0">
    <w:p w:rsidR="00565BC6" w:rsidRDefault="00565BC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6B38C7"/>
    <w:multiLevelType w:val="multilevel"/>
    <w:tmpl w:val="7848F50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10"/>
  </w:num>
  <w:num w:numId="4">
    <w:abstractNumId w:val="4"/>
  </w:num>
  <w:num w:numId="5">
    <w:abstractNumId w:val="6"/>
  </w:num>
  <w:num w:numId="6">
    <w:abstractNumId w:val="20"/>
  </w:num>
  <w:num w:numId="7">
    <w:abstractNumId w:val="16"/>
  </w:num>
  <w:num w:numId="8">
    <w:abstractNumId w:val="13"/>
  </w:num>
  <w:num w:numId="9">
    <w:abstractNumId w:val="21"/>
  </w:num>
  <w:num w:numId="10">
    <w:abstractNumId w:val="8"/>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9"/>
  </w:num>
  <w:num w:numId="24">
    <w:abstractNumId w:val="11"/>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A4A53"/>
    <w:rsid w:val="002C5AD1"/>
    <w:rsid w:val="002C78E9"/>
    <w:rsid w:val="002D11DF"/>
    <w:rsid w:val="002D2944"/>
    <w:rsid w:val="002D2E5D"/>
    <w:rsid w:val="002E02AA"/>
    <w:rsid w:val="002E48B2"/>
    <w:rsid w:val="002F46D8"/>
    <w:rsid w:val="002F5092"/>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F058C"/>
    <w:rsid w:val="005127D5"/>
    <w:rsid w:val="00517ECA"/>
    <w:rsid w:val="005219AC"/>
    <w:rsid w:val="00534F16"/>
    <w:rsid w:val="005440CA"/>
    <w:rsid w:val="00565BC6"/>
    <w:rsid w:val="0057671C"/>
    <w:rsid w:val="00596077"/>
    <w:rsid w:val="005A0B91"/>
    <w:rsid w:val="005A369C"/>
    <w:rsid w:val="005A4CD1"/>
    <w:rsid w:val="005B4BF0"/>
    <w:rsid w:val="005B629C"/>
    <w:rsid w:val="005C44CE"/>
    <w:rsid w:val="005E416E"/>
    <w:rsid w:val="005E672D"/>
    <w:rsid w:val="00624235"/>
    <w:rsid w:val="00625976"/>
    <w:rsid w:val="00635912"/>
    <w:rsid w:val="00637B22"/>
    <w:rsid w:val="0064486E"/>
    <w:rsid w:val="0066013C"/>
    <w:rsid w:val="0066400C"/>
    <w:rsid w:val="00675812"/>
    <w:rsid w:val="00677E4B"/>
    <w:rsid w:val="00690CF6"/>
    <w:rsid w:val="0069481A"/>
    <w:rsid w:val="006A0775"/>
    <w:rsid w:val="006A60A3"/>
    <w:rsid w:val="006A79B7"/>
    <w:rsid w:val="006D235A"/>
    <w:rsid w:val="006D3542"/>
    <w:rsid w:val="006E2D59"/>
    <w:rsid w:val="006E3143"/>
    <w:rsid w:val="006F0CFB"/>
    <w:rsid w:val="006F5BB4"/>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86202"/>
    <w:rsid w:val="007939EE"/>
    <w:rsid w:val="007948D6"/>
    <w:rsid w:val="007D3864"/>
    <w:rsid w:val="007E29E2"/>
    <w:rsid w:val="007E3337"/>
    <w:rsid w:val="007F03C4"/>
    <w:rsid w:val="007F4987"/>
    <w:rsid w:val="0083440A"/>
    <w:rsid w:val="00845C24"/>
    <w:rsid w:val="008503D5"/>
    <w:rsid w:val="00853CC0"/>
    <w:rsid w:val="00884EC3"/>
    <w:rsid w:val="00893B06"/>
    <w:rsid w:val="00893EAF"/>
    <w:rsid w:val="008A774F"/>
    <w:rsid w:val="008C5E64"/>
    <w:rsid w:val="008D5310"/>
    <w:rsid w:val="008E49EB"/>
    <w:rsid w:val="008E5C6B"/>
    <w:rsid w:val="00902379"/>
    <w:rsid w:val="00904483"/>
    <w:rsid w:val="009308AA"/>
    <w:rsid w:val="00934BF5"/>
    <w:rsid w:val="00940611"/>
    <w:rsid w:val="00940FF8"/>
    <w:rsid w:val="00944751"/>
    <w:rsid w:val="009512DF"/>
    <w:rsid w:val="009670BE"/>
    <w:rsid w:val="00970982"/>
    <w:rsid w:val="00973F38"/>
    <w:rsid w:val="00975565"/>
    <w:rsid w:val="009757EA"/>
    <w:rsid w:val="009763EE"/>
    <w:rsid w:val="009830D3"/>
    <w:rsid w:val="009854F3"/>
    <w:rsid w:val="00993DBB"/>
    <w:rsid w:val="009B04C1"/>
    <w:rsid w:val="009B15E2"/>
    <w:rsid w:val="009C2DB1"/>
    <w:rsid w:val="009C60F2"/>
    <w:rsid w:val="009D323E"/>
    <w:rsid w:val="009F153A"/>
    <w:rsid w:val="009F2515"/>
    <w:rsid w:val="009F3605"/>
    <w:rsid w:val="00A05517"/>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5363"/>
    <w:rsid w:val="00CC0C08"/>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50AA"/>
    <w:rsid w:val="00D97067"/>
    <w:rsid w:val="00DB11BF"/>
    <w:rsid w:val="00DB3A1D"/>
    <w:rsid w:val="00DE165F"/>
    <w:rsid w:val="00DF340E"/>
    <w:rsid w:val="00E23291"/>
    <w:rsid w:val="00E42F69"/>
    <w:rsid w:val="00E514E7"/>
    <w:rsid w:val="00E6149F"/>
    <w:rsid w:val="00E63B60"/>
    <w:rsid w:val="00E72B23"/>
    <w:rsid w:val="00E90928"/>
    <w:rsid w:val="00E92B92"/>
    <w:rsid w:val="00E957EA"/>
    <w:rsid w:val="00EB1163"/>
    <w:rsid w:val="00EC7118"/>
    <w:rsid w:val="00ED7281"/>
    <w:rsid w:val="00EE2195"/>
    <w:rsid w:val="00EF23EE"/>
    <w:rsid w:val="00EF5B68"/>
    <w:rsid w:val="00EF68DF"/>
    <w:rsid w:val="00F35BEE"/>
    <w:rsid w:val="00F372D8"/>
    <w:rsid w:val="00F43109"/>
    <w:rsid w:val="00F56E2E"/>
    <w:rsid w:val="00F6119A"/>
    <w:rsid w:val="00F6234E"/>
    <w:rsid w:val="00F6683D"/>
    <w:rsid w:val="00F72A34"/>
    <w:rsid w:val="00F757E9"/>
    <w:rsid w:val="00F77952"/>
    <w:rsid w:val="00F938E3"/>
    <w:rsid w:val="00FA2E27"/>
    <w:rsid w:val="00FA4462"/>
    <w:rsid w:val="00FA5EE5"/>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C9033-7847-46FC-9B7E-F2E7F0129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9</Pages>
  <Words>4328</Words>
  <Characters>24676</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48</cp:revision>
  <cp:lastPrinted>2017-02-28T02:11:00Z</cp:lastPrinted>
  <dcterms:created xsi:type="dcterms:W3CDTF">2016-04-19T05:38:00Z</dcterms:created>
  <dcterms:modified xsi:type="dcterms:W3CDTF">2017-03-01T02:23:00Z</dcterms:modified>
</cp:coreProperties>
</file>