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4B3582">
        <w:rPr>
          <w:bCs/>
          <w:caps/>
          <w:sz w:val="36"/>
          <w:szCs w:val="36"/>
        </w:rPr>
        <w:t>353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4B3582" w:rsidRDefault="008A4556" w:rsidP="004B358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>Закупочной комиссии по рассмотрению заявок открытого электронного запроса предложений на право заключен</w:t>
      </w:r>
      <w:bookmarkStart w:id="2" w:name="_GoBack"/>
      <w:bookmarkEnd w:id="2"/>
      <w:r w:rsidRPr="008235A6">
        <w:rPr>
          <w:bCs/>
          <w:sz w:val="26"/>
          <w:szCs w:val="26"/>
        </w:rPr>
        <w:t xml:space="preserve">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4B3582" w:rsidRPr="006D3494">
        <w:rPr>
          <w:b/>
          <w:i/>
          <w:sz w:val="26"/>
          <w:szCs w:val="26"/>
        </w:rPr>
        <w:t>«Ремонт теплотрассы базы СП "ЦЭС"»</w:t>
      </w:r>
      <w:r w:rsidR="004B3582" w:rsidRPr="00D91E1F">
        <w:rPr>
          <w:b/>
          <w:i/>
          <w:sz w:val="26"/>
          <w:szCs w:val="26"/>
        </w:rPr>
        <w:t xml:space="preserve"> </w:t>
      </w:r>
      <w:r w:rsidR="004B3582" w:rsidRPr="00D91E1F">
        <w:rPr>
          <w:sz w:val="26"/>
          <w:szCs w:val="26"/>
        </w:rPr>
        <w:t>для нужд филиала АО «ДРСК» «Амурские электрические сети» (закупка 100</w:t>
      </w:r>
      <w:r w:rsidR="004B3582">
        <w:rPr>
          <w:sz w:val="26"/>
          <w:szCs w:val="26"/>
        </w:rPr>
        <w:t>5</w:t>
      </w:r>
      <w:r w:rsidR="004B3582" w:rsidRPr="00D91E1F">
        <w:rPr>
          <w:sz w:val="26"/>
          <w:szCs w:val="26"/>
        </w:rPr>
        <w:t xml:space="preserve"> раздела 1.1.</w:t>
      </w:r>
      <w:proofErr w:type="gramEnd"/>
      <w:r w:rsidR="004B3582" w:rsidRPr="00D91E1F">
        <w:rPr>
          <w:sz w:val="26"/>
          <w:szCs w:val="26"/>
        </w:rPr>
        <w:t xml:space="preserve"> </w:t>
      </w:r>
      <w:proofErr w:type="gramStart"/>
      <w:r w:rsidR="004B3582" w:rsidRPr="00D91E1F">
        <w:rPr>
          <w:sz w:val="26"/>
          <w:szCs w:val="26"/>
        </w:rPr>
        <w:t>ГКПЗ 2017 г.)</w:t>
      </w:r>
      <w:proofErr w:type="gramEnd"/>
    </w:p>
    <w:p w:rsidR="004B3582" w:rsidRPr="00D91E1F" w:rsidRDefault="004B3582" w:rsidP="004B358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4B3582" w:rsidP="003D03C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D03C2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3D03C2" w:rsidRPr="00AA25FB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3D03C2" w:rsidRPr="00AA25FB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3D03C2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B3582" w:rsidRDefault="004B3582" w:rsidP="004B35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B3582" w:rsidRDefault="004B3582" w:rsidP="004B35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B3582" w:rsidRPr="00F943FC" w:rsidRDefault="004B3582" w:rsidP="004B358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4B3582" w:rsidRDefault="004B3582" w:rsidP="004B358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4"/>
      </w:tblGrid>
      <w:tr w:rsidR="004B3582" w:rsidRPr="006714EB" w:rsidTr="00C86E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714EB">
              <w:rPr>
                <w:sz w:val="24"/>
                <w:szCs w:val="24"/>
              </w:rPr>
              <w:t>запросе</w:t>
            </w:r>
            <w:proofErr w:type="gramEnd"/>
            <w:r w:rsidRPr="006714E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4B3582" w:rsidRPr="006714EB" w:rsidTr="00C86E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</w:t>
            </w:r>
            <w:proofErr w:type="spellStart"/>
            <w:r w:rsidRPr="006714EB">
              <w:rPr>
                <w:sz w:val="24"/>
                <w:szCs w:val="24"/>
              </w:rPr>
              <w:t>Теплосервис</w:t>
            </w:r>
            <w:proofErr w:type="spellEnd"/>
            <w:r w:rsidRPr="006714EB">
              <w:rPr>
                <w:sz w:val="24"/>
                <w:szCs w:val="24"/>
              </w:rPr>
              <w:t xml:space="preserve">-Комплект" (675000, Россия, Амурская обл., г. Благовещенск, ул. </w:t>
            </w:r>
            <w:proofErr w:type="spellStart"/>
            <w:r w:rsidRPr="006714EB">
              <w:rPr>
                <w:sz w:val="24"/>
                <w:szCs w:val="24"/>
              </w:rPr>
              <w:t>Зейская</w:t>
            </w:r>
            <w:proofErr w:type="spellEnd"/>
            <w:r w:rsidRPr="006714EB">
              <w:rPr>
                <w:sz w:val="24"/>
                <w:szCs w:val="24"/>
              </w:rPr>
              <w:t>, д. 319, корп.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Заявка, подана 20.03.2017 в 07:36</w:t>
            </w:r>
            <w:r w:rsidRPr="006714EB">
              <w:rPr>
                <w:sz w:val="24"/>
                <w:szCs w:val="24"/>
              </w:rPr>
              <w:br/>
              <w:t xml:space="preserve">Цена: </w:t>
            </w:r>
            <w:r w:rsidRPr="006714EB">
              <w:rPr>
                <w:b/>
                <w:sz w:val="24"/>
                <w:szCs w:val="24"/>
              </w:rPr>
              <w:t>507 045,00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</w:tr>
      <w:tr w:rsidR="004B3582" w:rsidRPr="006714EB" w:rsidTr="00C86E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Заявка, подана 14.03.2017 в 15:43</w:t>
            </w:r>
            <w:r w:rsidRPr="006714EB">
              <w:rPr>
                <w:sz w:val="24"/>
                <w:szCs w:val="24"/>
              </w:rPr>
              <w:br/>
              <w:t xml:space="preserve">Цена: </w:t>
            </w:r>
            <w:r w:rsidRPr="006714EB">
              <w:rPr>
                <w:b/>
                <w:sz w:val="24"/>
                <w:szCs w:val="24"/>
              </w:rPr>
              <w:t>527 726,74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</w:tr>
      <w:tr w:rsidR="004B3582" w:rsidRPr="006714EB" w:rsidTr="00C86E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6714EB">
              <w:rPr>
                <w:sz w:val="24"/>
                <w:szCs w:val="24"/>
              </w:rPr>
              <w:t>Забурхановская</w:t>
            </w:r>
            <w:proofErr w:type="spellEnd"/>
            <w:r w:rsidRPr="006714EB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Заявка, подана 20.03.2017 в 05:14</w:t>
            </w:r>
            <w:r w:rsidRPr="006714EB">
              <w:rPr>
                <w:sz w:val="24"/>
                <w:szCs w:val="24"/>
              </w:rPr>
              <w:br/>
              <w:t xml:space="preserve">Цена: 625 400,00 руб. (цена без НДС: </w:t>
            </w:r>
            <w:r w:rsidRPr="006714EB">
              <w:rPr>
                <w:b/>
                <w:sz w:val="24"/>
                <w:szCs w:val="24"/>
              </w:rPr>
              <w:t>530 000,00</w:t>
            </w:r>
            <w:r w:rsidRPr="006714EB">
              <w:rPr>
                <w:sz w:val="24"/>
                <w:szCs w:val="24"/>
              </w:rPr>
              <w:t> руб.)</w:t>
            </w:r>
          </w:p>
        </w:tc>
      </w:tr>
      <w:tr w:rsidR="004B3582" w:rsidRPr="006714EB" w:rsidTr="00C86E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6714EB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Заявка, подана 17.03.2017 в 09:24</w:t>
            </w:r>
            <w:r w:rsidRPr="006714EB">
              <w:rPr>
                <w:sz w:val="24"/>
                <w:szCs w:val="24"/>
              </w:rPr>
              <w:br/>
              <w:t xml:space="preserve">Цена: 644 406,25 руб. (цена без НДС: </w:t>
            </w:r>
            <w:r w:rsidRPr="006714EB">
              <w:rPr>
                <w:b/>
                <w:sz w:val="24"/>
                <w:szCs w:val="24"/>
              </w:rPr>
              <w:t>546 106,99</w:t>
            </w:r>
            <w:r w:rsidRPr="006714EB">
              <w:rPr>
                <w:sz w:val="24"/>
                <w:szCs w:val="24"/>
              </w:rPr>
              <w:t> руб.)</w:t>
            </w:r>
          </w:p>
        </w:tc>
      </w:tr>
      <w:tr w:rsidR="004B3582" w:rsidRPr="006714EB" w:rsidTr="00C86EE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5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Заявка: подана 18.03.2017 в 14:59</w:t>
            </w:r>
            <w:r w:rsidRPr="006714EB">
              <w:rPr>
                <w:sz w:val="24"/>
                <w:szCs w:val="24"/>
              </w:rPr>
              <w:br/>
              <w:t xml:space="preserve">Цена: </w:t>
            </w:r>
            <w:r w:rsidRPr="006714EB">
              <w:rPr>
                <w:b/>
                <w:sz w:val="24"/>
                <w:szCs w:val="24"/>
              </w:rPr>
              <w:t>551 849,00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4B3582" w:rsidRDefault="004B3582" w:rsidP="004B35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4B3582" w:rsidRDefault="004B3582" w:rsidP="004B35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B3582" w:rsidRPr="00FD403B" w:rsidRDefault="004B3582" w:rsidP="004B3582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682BEC">
        <w:rPr>
          <w:sz w:val="24"/>
          <w:szCs w:val="24"/>
        </w:rPr>
        <w:t>ООО "</w:t>
      </w:r>
      <w:proofErr w:type="spellStart"/>
      <w:r w:rsidRPr="00682BEC">
        <w:rPr>
          <w:sz w:val="24"/>
          <w:szCs w:val="24"/>
        </w:rPr>
        <w:t>Теплосервис</w:t>
      </w:r>
      <w:proofErr w:type="spellEnd"/>
      <w:r w:rsidRPr="00682BEC">
        <w:rPr>
          <w:sz w:val="24"/>
          <w:szCs w:val="24"/>
        </w:rPr>
        <w:t xml:space="preserve">-Комплект" (675000, Россия, Амурская обл., г. Благовещенск, ул. </w:t>
      </w:r>
      <w:proofErr w:type="spellStart"/>
      <w:r w:rsidRPr="00682BEC">
        <w:rPr>
          <w:sz w:val="24"/>
          <w:szCs w:val="24"/>
        </w:rPr>
        <w:t>Зейская</w:t>
      </w:r>
      <w:proofErr w:type="spellEnd"/>
      <w:r w:rsidRPr="00682BEC">
        <w:rPr>
          <w:sz w:val="24"/>
          <w:szCs w:val="24"/>
        </w:rPr>
        <w:t xml:space="preserve">, д. 319, корп. 1), ООО "ПРОМЕТЕЙ +" (675000, Россия, Амурская обл., г. Благовещенск, ул. Мухина, д. 150), ООО "Династия" (675000, Россия, Амурская область, г. Благовещенск, ул. </w:t>
      </w:r>
      <w:proofErr w:type="spellStart"/>
      <w:r w:rsidRPr="00682BEC">
        <w:rPr>
          <w:sz w:val="24"/>
          <w:szCs w:val="24"/>
        </w:rPr>
        <w:t>Забурхановская</w:t>
      </w:r>
      <w:proofErr w:type="spellEnd"/>
      <w:r w:rsidRPr="00682BEC">
        <w:rPr>
          <w:sz w:val="24"/>
          <w:szCs w:val="24"/>
        </w:rPr>
        <w:t>, 98), ООО "КАМИЛА" (675000, Россия, Амурская обл., г. Благовещенск, ул. Северная, д. 167, лит.</w:t>
      </w:r>
      <w:proofErr w:type="gramEnd"/>
      <w:r w:rsidRPr="00682BEC">
        <w:rPr>
          <w:sz w:val="24"/>
          <w:szCs w:val="24"/>
        </w:rPr>
        <w:t xml:space="preserve"> А), ООО "ПОДРЯДЧИК ДВ" (675018, Россия, Амурская обл., п. Моховая падь, лит. 1, кв. 53)</w:t>
      </w:r>
      <w:r>
        <w:rPr>
          <w:sz w:val="24"/>
          <w:szCs w:val="24"/>
        </w:rPr>
        <w:t xml:space="preserve"> </w:t>
      </w:r>
      <w:proofErr w:type="gramStart"/>
      <w:r w:rsidRPr="00FD403B">
        <w:rPr>
          <w:color w:val="000000" w:themeColor="text1"/>
          <w:sz w:val="24"/>
          <w:szCs w:val="24"/>
        </w:rPr>
        <w:t>соответствующими</w:t>
      </w:r>
      <w:proofErr w:type="gramEnd"/>
      <w:r w:rsidRPr="00FD403B">
        <w:rPr>
          <w:color w:val="000000" w:themeColor="text1"/>
          <w:sz w:val="24"/>
          <w:szCs w:val="24"/>
        </w:rPr>
        <w:t xml:space="preserve"> условиям закупки.</w:t>
      </w:r>
    </w:p>
    <w:p w:rsidR="004B3582" w:rsidRDefault="004B3582" w:rsidP="004B358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B3582" w:rsidRDefault="004B3582" w:rsidP="004B35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4B3582" w:rsidRDefault="004B3582" w:rsidP="004B35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B3582" w:rsidRDefault="004B3582" w:rsidP="004B358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4B3582" w:rsidRPr="00A967F1" w:rsidTr="00C86EEE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82" w:rsidRPr="00A967F1" w:rsidRDefault="004B3582" w:rsidP="00C86EE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82" w:rsidRPr="00A967F1" w:rsidRDefault="004B3582" w:rsidP="00C86EEE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82" w:rsidRPr="00A967F1" w:rsidRDefault="004B3582" w:rsidP="00C86EEE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582" w:rsidRPr="00A967F1" w:rsidRDefault="004B3582" w:rsidP="00C86EEE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4B3582" w:rsidRPr="00A967F1" w:rsidTr="00C86E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Pr="00A967F1" w:rsidRDefault="004B3582" w:rsidP="00C86EE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</w:t>
            </w:r>
            <w:proofErr w:type="spellStart"/>
            <w:r w:rsidRPr="006714EB">
              <w:rPr>
                <w:sz w:val="24"/>
                <w:szCs w:val="24"/>
              </w:rPr>
              <w:t>Теплосервис</w:t>
            </w:r>
            <w:proofErr w:type="spellEnd"/>
            <w:r w:rsidRPr="006714EB">
              <w:rPr>
                <w:sz w:val="24"/>
                <w:szCs w:val="24"/>
              </w:rPr>
              <w:t xml:space="preserve">-Комплект" (675000, Россия, Амурская обл., г. Благовещенск, ул. </w:t>
            </w:r>
            <w:proofErr w:type="spellStart"/>
            <w:r w:rsidRPr="006714EB">
              <w:rPr>
                <w:sz w:val="24"/>
                <w:szCs w:val="24"/>
              </w:rPr>
              <w:t>Зейская</w:t>
            </w:r>
            <w:proofErr w:type="spellEnd"/>
            <w:r w:rsidRPr="006714EB">
              <w:rPr>
                <w:sz w:val="24"/>
                <w:szCs w:val="24"/>
              </w:rPr>
              <w:t>, д. 319, корп. 1)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b/>
                <w:sz w:val="24"/>
                <w:szCs w:val="24"/>
              </w:rPr>
              <w:t>507 045,00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Default="004B3582" w:rsidP="00C86EE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0,87</w:t>
            </w:r>
          </w:p>
          <w:p w:rsidR="004B3582" w:rsidRDefault="004B3582" w:rsidP="00C86EEE">
            <w:pPr>
              <w:ind w:firstLine="0"/>
              <w:jc w:val="center"/>
            </w:pPr>
          </w:p>
        </w:tc>
      </w:tr>
      <w:tr w:rsidR="004B3582" w:rsidRPr="00A967F1" w:rsidTr="00C86E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Default="004B3582" w:rsidP="00C86EEE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6714EB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 xml:space="preserve">644 406,25 руб. (цена без НДС: </w:t>
            </w:r>
            <w:r w:rsidRPr="006714EB">
              <w:rPr>
                <w:b/>
                <w:sz w:val="24"/>
                <w:szCs w:val="24"/>
              </w:rPr>
              <w:t>546 106,99</w:t>
            </w:r>
            <w:r w:rsidRPr="006714EB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Default="004B3582" w:rsidP="00C86EE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0,55</w:t>
            </w:r>
          </w:p>
        </w:tc>
      </w:tr>
      <w:tr w:rsidR="004B3582" w:rsidRPr="00A967F1" w:rsidTr="00C86E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Default="004B3582" w:rsidP="00C86EE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b/>
                <w:sz w:val="24"/>
                <w:szCs w:val="24"/>
              </w:rPr>
              <w:t>527 726,74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Default="004B3582" w:rsidP="00C86EE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0,54</w:t>
            </w:r>
          </w:p>
        </w:tc>
      </w:tr>
      <w:tr w:rsidR="004B3582" w:rsidRPr="00A967F1" w:rsidTr="00C86E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Default="004B3582" w:rsidP="00C86EEE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b/>
                <w:sz w:val="24"/>
                <w:szCs w:val="24"/>
              </w:rPr>
              <w:t>551 849,00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Default="004B3582" w:rsidP="00C86EEE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0,34</w:t>
            </w:r>
          </w:p>
        </w:tc>
      </w:tr>
      <w:tr w:rsidR="004B3582" w:rsidRPr="00A967F1" w:rsidTr="00C86EE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Default="004B3582" w:rsidP="00C86EEE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6714EB">
              <w:rPr>
                <w:sz w:val="24"/>
                <w:szCs w:val="24"/>
              </w:rPr>
              <w:t>Забурхановская</w:t>
            </w:r>
            <w:proofErr w:type="spellEnd"/>
            <w:r w:rsidRPr="006714EB">
              <w:rPr>
                <w:sz w:val="24"/>
                <w:szCs w:val="24"/>
              </w:rPr>
              <w:t>, 98)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Pr="006714EB" w:rsidRDefault="004B3582" w:rsidP="00C86EE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 xml:space="preserve">625 400,00 руб. (цена без НДС: </w:t>
            </w:r>
            <w:r w:rsidRPr="006714EB">
              <w:rPr>
                <w:b/>
                <w:sz w:val="24"/>
                <w:szCs w:val="24"/>
              </w:rPr>
              <w:t>530 000,00</w:t>
            </w:r>
            <w:r w:rsidRPr="006714EB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582" w:rsidRDefault="004B3582" w:rsidP="00C86EEE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0,28</w:t>
            </w:r>
          </w:p>
        </w:tc>
      </w:tr>
    </w:tbl>
    <w:p w:rsidR="004B3582" w:rsidRDefault="004B3582" w:rsidP="004B358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B3582" w:rsidRDefault="004B3582" w:rsidP="004B35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4B3582" w:rsidRDefault="004B3582" w:rsidP="004B35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B3582" w:rsidRPr="00E763D2" w:rsidRDefault="004B3582" w:rsidP="004B358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4B3582" w:rsidRPr="00E763D2" w:rsidRDefault="004B3582" w:rsidP="004B358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682BEC">
        <w:rPr>
          <w:sz w:val="24"/>
          <w:szCs w:val="24"/>
        </w:rPr>
        <w:t>ООО "</w:t>
      </w:r>
      <w:proofErr w:type="spellStart"/>
      <w:r w:rsidRPr="00682BEC">
        <w:rPr>
          <w:sz w:val="24"/>
          <w:szCs w:val="24"/>
        </w:rPr>
        <w:t>Теплосервис</w:t>
      </w:r>
      <w:proofErr w:type="spellEnd"/>
      <w:r w:rsidRPr="00682BEC">
        <w:rPr>
          <w:sz w:val="24"/>
          <w:szCs w:val="24"/>
        </w:rPr>
        <w:t xml:space="preserve">-Комплект" (675000, Россия, Амурская обл., г. Благовещенск, ул. </w:t>
      </w:r>
      <w:proofErr w:type="spellStart"/>
      <w:r w:rsidRPr="00682BEC">
        <w:rPr>
          <w:sz w:val="24"/>
          <w:szCs w:val="24"/>
        </w:rPr>
        <w:t>Зейская</w:t>
      </w:r>
      <w:proofErr w:type="spellEnd"/>
      <w:r w:rsidRPr="00682BEC">
        <w:rPr>
          <w:sz w:val="24"/>
          <w:szCs w:val="24"/>
        </w:rPr>
        <w:t xml:space="preserve">, д. 319, корп. 1), ООО "ПРОМЕТЕЙ +" (675000, Россия, Амурская обл., г. Благовещенск, ул. Мухина, д. 150), ООО "Династия" (675000, Россия, Амурская область, г. Благовещенск, ул. </w:t>
      </w:r>
      <w:proofErr w:type="spellStart"/>
      <w:r w:rsidRPr="00682BEC">
        <w:rPr>
          <w:sz w:val="24"/>
          <w:szCs w:val="24"/>
        </w:rPr>
        <w:t>Забурхановская</w:t>
      </w:r>
      <w:proofErr w:type="spellEnd"/>
      <w:r w:rsidRPr="00682BEC">
        <w:rPr>
          <w:sz w:val="24"/>
          <w:szCs w:val="24"/>
        </w:rPr>
        <w:t>, 98), ООО "КАМИЛА" (675000, Россия, Амурская обл., г. Благовещенск, ул. Северная, д. 167, лит.</w:t>
      </w:r>
      <w:proofErr w:type="gramEnd"/>
      <w:r w:rsidRPr="00682BEC">
        <w:rPr>
          <w:sz w:val="24"/>
          <w:szCs w:val="24"/>
        </w:rPr>
        <w:t xml:space="preserve"> А), ООО "ПОДРЯДЧИК ДВ" (675018, Россия, Амурская обл., п. Моховая падь, лит. 1, кв. 53)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4B3582" w:rsidRPr="00E763D2" w:rsidRDefault="004B3582" w:rsidP="004B358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4B3582" w:rsidRPr="00E763D2" w:rsidRDefault="004B3582" w:rsidP="004B358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11.04.2017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4B3582" w:rsidRPr="00E763D2" w:rsidRDefault="004B3582" w:rsidP="004B358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4B3582" w:rsidRPr="00BF0BC8" w:rsidRDefault="004B3582" w:rsidP="004B358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A21" w:rsidRDefault="00E96A21" w:rsidP="00355095">
      <w:pPr>
        <w:spacing w:line="240" w:lineRule="auto"/>
      </w:pPr>
      <w:r>
        <w:separator/>
      </w:r>
    </w:p>
  </w:endnote>
  <w:endnote w:type="continuationSeparator" w:id="0">
    <w:p w:rsidR="00E96A21" w:rsidRDefault="00E96A2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35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35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A21" w:rsidRDefault="00E96A21" w:rsidP="00355095">
      <w:pPr>
        <w:spacing w:line="240" w:lineRule="auto"/>
      </w:pPr>
      <w:r>
        <w:separator/>
      </w:r>
    </w:p>
  </w:footnote>
  <w:footnote w:type="continuationSeparator" w:id="0">
    <w:p w:rsidR="00E96A21" w:rsidRDefault="00E96A2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D03C2">
      <w:rPr>
        <w:i/>
        <w:sz w:val="20"/>
      </w:rPr>
      <w:t>100</w:t>
    </w:r>
    <w:r w:rsidR="004B3582">
      <w:rPr>
        <w:i/>
        <w:sz w:val="20"/>
      </w:rPr>
      <w:t>5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79995-0C1E-45F6-8DEC-EC2197F2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21</cp:revision>
  <cp:lastPrinted>2017-04-10T00:32:00Z</cp:lastPrinted>
  <dcterms:created xsi:type="dcterms:W3CDTF">2016-12-27T05:07:00Z</dcterms:created>
  <dcterms:modified xsi:type="dcterms:W3CDTF">2017-04-10T00:58:00Z</dcterms:modified>
</cp:coreProperties>
</file>