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0E8" w:rsidRDefault="00B94466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 1</w:t>
      </w:r>
      <w:bookmarkStart w:id="0" w:name="_GoBack"/>
      <w:bookmarkEnd w:id="0"/>
      <w:r w:rsidR="00B470E8">
        <w:rPr>
          <w:sz w:val="26"/>
          <w:szCs w:val="26"/>
        </w:rPr>
        <w:t xml:space="preserve"> </w:t>
      </w:r>
    </w:p>
    <w:p w:rsidR="00B470E8" w:rsidRDefault="00F51466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jc w:val="right"/>
        <w:rPr>
          <w:sz w:val="26"/>
          <w:szCs w:val="26"/>
        </w:rPr>
      </w:pPr>
      <w:r>
        <w:rPr>
          <w:sz w:val="26"/>
          <w:szCs w:val="26"/>
        </w:rPr>
        <w:t>К Техническому заданию</w:t>
      </w:r>
    </w:p>
    <w:p w:rsidR="00B470E8" w:rsidRDefault="00B470E8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jc w:val="right"/>
        <w:rPr>
          <w:sz w:val="26"/>
          <w:szCs w:val="26"/>
        </w:rPr>
      </w:pPr>
    </w:p>
    <w:p w:rsidR="005C766A" w:rsidRPr="00CB73BE" w:rsidRDefault="005C766A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jc w:val="right"/>
        <w:rPr>
          <w:sz w:val="26"/>
          <w:szCs w:val="26"/>
        </w:rPr>
      </w:pP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828"/>
        <w:gridCol w:w="3440"/>
        <w:gridCol w:w="5953"/>
      </w:tblGrid>
      <w:tr w:rsidR="005C766A" w:rsidRPr="00CB73BE" w:rsidTr="00B470E8">
        <w:trPr>
          <w:trHeight w:val="315"/>
        </w:trPr>
        <w:tc>
          <w:tcPr>
            <w:tcW w:w="10221" w:type="dxa"/>
            <w:gridSpan w:val="3"/>
            <w:noWrap/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 w:rsidRPr="00CB73BE">
              <w:rPr>
                <w:b/>
                <w:bCs/>
                <w:sz w:val="26"/>
                <w:szCs w:val="26"/>
              </w:rPr>
              <w:t xml:space="preserve">ПРОТОКОЛ </w:t>
            </w:r>
          </w:p>
        </w:tc>
      </w:tr>
      <w:tr w:rsidR="005C766A" w:rsidRPr="00CB73BE" w:rsidTr="00B470E8">
        <w:trPr>
          <w:trHeight w:val="405"/>
        </w:trPr>
        <w:tc>
          <w:tcPr>
            <w:tcW w:w="10221" w:type="dxa"/>
            <w:gridSpan w:val="3"/>
            <w:noWrap/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CB73BE">
              <w:rPr>
                <w:sz w:val="26"/>
                <w:szCs w:val="26"/>
              </w:rPr>
              <w:t>согласования нормативов для расчетов сметной документации</w:t>
            </w:r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noWrap/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3440" w:type="dxa"/>
            <w:noWrap/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5953" w:type="dxa"/>
            <w:noWrap/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</w:tr>
      <w:tr w:rsidR="005C766A" w:rsidRPr="00CB73BE" w:rsidTr="00B470E8">
        <w:trPr>
          <w:trHeight w:val="76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№ </w:t>
            </w:r>
            <w:proofErr w:type="gramStart"/>
            <w:r w:rsidRPr="00CB73BE">
              <w:rPr>
                <w:b/>
                <w:bCs/>
                <w:sz w:val="20"/>
              </w:rPr>
              <w:t>п</w:t>
            </w:r>
            <w:proofErr w:type="gramEnd"/>
            <w:r w:rsidRPr="00CB73BE">
              <w:rPr>
                <w:b/>
                <w:bCs/>
                <w:sz w:val="20"/>
              </w:rPr>
              <w:t>/п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Наименование глав, работ и </w:t>
            </w:r>
          </w:p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затрат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Порядок определения стоимости прочих работ и затрат в текущем уровне цен (ссылки на законодательные и нормативные документы).</w:t>
            </w:r>
          </w:p>
        </w:tc>
      </w:tr>
      <w:tr w:rsidR="005C766A" w:rsidRPr="00CB73BE" w:rsidTr="00B470E8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Локальные сметные расчеты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13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Выполнение локальных сметных расчетов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F51466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Локальные сметные расчеты выполняются в базисном уровне цен (редакция 20</w:t>
            </w:r>
            <w:r>
              <w:rPr>
                <w:sz w:val="20"/>
              </w:rPr>
              <w:t>14</w:t>
            </w:r>
            <w:r w:rsidRPr="00CB73BE">
              <w:rPr>
                <w:sz w:val="20"/>
              </w:rPr>
              <w:t xml:space="preserve">г. с учетом изменений),  в соответствии с действующими нормативными и методическими документами, внесенными в федеральный реестр сметных нормативов подлежащих применению при определении сметной стоимости объектов.  Расчет производится </w:t>
            </w:r>
            <w:proofErr w:type="gramStart"/>
            <w:r w:rsidRPr="00CB73BE">
              <w:rPr>
                <w:sz w:val="20"/>
              </w:rPr>
              <w:t>по</w:t>
            </w:r>
            <w:proofErr w:type="gramEnd"/>
            <w:r w:rsidRPr="00CB73BE">
              <w:rPr>
                <w:sz w:val="20"/>
              </w:rPr>
              <w:t xml:space="preserve"> ТЕР, </w:t>
            </w:r>
            <w:proofErr w:type="spellStart"/>
            <w:r w:rsidRPr="00CB73BE">
              <w:rPr>
                <w:sz w:val="20"/>
              </w:rPr>
              <w:t>ТЕРм</w:t>
            </w:r>
            <w:proofErr w:type="spellEnd"/>
            <w:r w:rsidRPr="00CB73BE">
              <w:rPr>
                <w:sz w:val="20"/>
              </w:rPr>
              <w:t xml:space="preserve">, </w:t>
            </w:r>
            <w:proofErr w:type="spellStart"/>
            <w:r w:rsidRPr="00CB73BE">
              <w:rPr>
                <w:sz w:val="20"/>
              </w:rPr>
              <w:t>ТССЦпг</w:t>
            </w:r>
            <w:proofErr w:type="spellEnd"/>
            <w:r w:rsidRPr="00CB73BE">
              <w:rPr>
                <w:sz w:val="20"/>
              </w:rPr>
              <w:t xml:space="preserve">, ТСЭМ, </w:t>
            </w:r>
            <w:proofErr w:type="spellStart"/>
            <w:r w:rsidRPr="00CB73BE">
              <w:rPr>
                <w:sz w:val="20"/>
              </w:rPr>
              <w:t>ТЕРп</w:t>
            </w:r>
            <w:proofErr w:type="spellEnd"/>
            <w:r w:rsidRPr="00CB73BE">
              <w:rPr>
                <w:sz w:val="20"/>
              </w:rPr>
              <w:t xml:space="preserve"> и ТССЦ. </w:t>
            </w:r>
          </w:p>
        </w:tc>
      </w:tr>
      <w:tr w:rsidR="005C766A" w:rsidRPr="00CB73BE" w:rsidTr="00B470E8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Накладные расходы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Принимаются по видам работ от фонда оплаты труда в соответствие с МДС 81-33.2004, МДС 81-34.2004, письмом Госстроя от 27.11.2012 № 2536-ИП/12/ГС</w:t>
            </w:r>
          </w:p>
        </w:tc>
      </w:tr>
      <w:tr w:rsidR="005C766A" w:rsidRPr="00CB73BE" w:rsidTr="00B470E8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Сметная прибыль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Принимаются по видам работ от фонда оплаты труда в соответствие с МДС 81-25.2004, письмом </w:t>
            </w:r>
            <w:proofErr w:type="spellStart"/>
            <w:r w:rsidRPr="00CB73BE">
              <w:rPr>
                <w:sz w:val="20"/>
              </w:rPr>
              <w:t>ФАСиЖКХ</w:t>
            </w:r>
            <w:proofErr w:type="spellEnd"/>
            <w:r w:rsidRPr="00CB73BE">
              <w:rPr>
                <w:sz w:val="20"/>
              </w:rPr>
              <w:t xml:space="preserve"> от 18.11.2004 №АП-5536/06, письмом Госстроя от 27.11.2012 № 2536-ИП/12/ГС</w:t>
            </w:r>
          </w:p>
        </w:tc>
      </w:tr>
      <w:tr w:rsidR="005C766A" w:rsidRPr="00CB73BE" w:rsidTr="00B470E8">
        <w:trPr>
          <w:trHeight w:val="364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Стоимость материалов, конструкций и изделий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F51466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по ТССЦ соответствующего региона и ФССЦ.  Перевозка материалов, конструкций и  изделий учтена на расстояние определенное РЦЦС (Приморски</w:t>
            </w:r>
            <w:r w:rsidR="00F51466">
              <w:rPr>
                <w:sz w:val="20"/>
              </w:rPr>
              <w:t>й</w:t>
            </w:r>
            <w:r w:rsidRPr="00CB73BE">
              <w:rPr>
                <w:sz w:val="20"/>
              </w:rPr>
              <w:t xml:space="preserve"> кра</w:t>
            </w:r>
            <w:r w:rsidR="00F51466">
              <w:rPr>
                <w:sz w:val="20"/>
              </w:rPr>
              <w:t>й</w:t>
            </w:r>
            <w:r w:rsidRPr="00CB73BE">
              <w:rPr>
                <w:sz w:val="20"/>
              </w:rPr>
              <w:t xml:space="preserve">, федеральные сборники - 30км). Транспортировка грузов свыше указанного расстояния учитывается дополнительно. При отсутствии материала в сборнике, стоимость может определяться по прайс-листам заводов - изготовителей, но не выше стоимости аналогичного материального ресурса, указываемого в региональных аналитических изданиях, публикующих информацию о средних сметных ценах на основные строительные ресурсы.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</w:t>
            </w:r>
            <w:proofErr w:type="spellStart"/>
            <w:r w:rsidRPr="00CB73BE">
              <w:rPr>
                <w:sz w:val="20"/>
              </w:rPr>
              <w:t>приобъектный</w:t>
            </w:r>
            <w:proofErr w:type="spellEnd"/>
            <w:r w:rsidRPr="00CB73BE">
              <w:rPr>
                <w:sz w:val="20"/>
              </w:rPr>
              <w:t xml:space="preserve"> склад строящегося объекта и заготовительно-складские расходы (строительные материалы - 2%, металлоконструкции - 0,75%). </w:t>
            </w:r>
          </w:p>
        </w:tc>
      </w:tr>
      <w:tr w:rsidR="005C766A" w:rsidRPr="00CB73BE" w:rsidTr="00B470E8">
        <w:trPr>
          <w:trHeight w:val="2218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Определение затрат на перевозку грузов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перевозку грузов зависят от транспортных схем доставки материалов, условий и расстояний их транспортировки. Транспортные расходы рекомендуется определять на основании калькуляций транспортных расходов по группам материалов в соответствии с транспортной схемой доставки (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) материалов. При </w:t>
            </w:r>
            <w:proofErr w:type="spellStart"/>
            <w:r w:rsidRPr="00CB73BE">
              <w:rPr>
                <w:sz w:val="20"/>
              </w:rPr>
              <w:t>калькулировании</w:t>
            </w:r>
            <w:proofErr w:type="spellEnd"/>
            <w:r w:rsidRPr="00CB73BE">
              <w:rPr>
                <w:sz w:val="20"/>
              </w:rPr>
              <w:t xml:space="preserve"> стоимости транспортных расходов должны учитываться тарифы на грузовые перевозки различными видами транспорта, в том числе по железнодорожным перевозкам, принимать стоимость по действующим нормативным документам и прейскурантам естественных монополий с учетом индексов.</w:t>
            </w:r>
          </w:p>
        </w:tc>
      </w:tr>
      <w:tr w:rsidR="005C766A" w:rsidRPr="00CB73BE" w:rsidTr="00B470E8">
        <w:trPr>
          <w:trHeight w:val="3671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1.6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Стоимость оборудования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Определяется по ценам поставщиков и включается в смету с учетом стоимости запасных частей, необходимых для обеспечения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</w:t>
            </w:r>
            <w:proofErr w:type="spellStart"/>
            <w:r w:rsidRPr="00CB73BE">
              <w:rPr>
                <w:sz w:val="20"/>
              </w:rPr>
              <w:t>приобъектного</w:t>
            </w:r>
            <w:proofErr w:type="spellEnd"/>
            <w:r w:rsidRPr="00CB73BE">
              <w:rPr>
                <w:sz w:val="20"/>
              </w:rPr>
              <w:t xml:space="preserve"> склада, а так же средств на заготовительно-складские расходы. При отсутствии возможности определения транспортных затрат методом </w:t>
            </w:r>
            <w:proofErr w:type="spellStart"/>
            <w:r w:rsidRPr="00CB73BE">
              <w:rPr>
                <w:sz w:val="20"/>
              </w:rPr>
              <w:t>калькулирования</w:t>
            </w:r>
            <w:proofErr w:type="spellEnd"/>
            <w:r w:rsidRPr="00CB73BE">
              <w:rPr>
                <w:sz w:val="20"/>
              </w:rPr>
              <w:t xml:space="preserve"> принимаем: затраты на транспортные расходы в размере 3 - 6% от отпускной цены оборудования; расходы на комплектацию оборудования в размере от 0,5 - 1% от его отпускной цены; заготовительно-складские расходы в размере не менее 1,2% от суммы всех затрат на оборудования, включая отпускную цену;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</w:t>
            </w:r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Сводный сметный расчет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2.1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1. Подготовка территории строительства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Оформление земельного участка и разбивочные работы: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653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2.1.1.1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отводу земельного участка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по расчету, составленных исходя из площади отводимых участков и </w:t>
            </w:r>
            <w:proofErr w:type="gramStart"/>
            <w:r w:rsidRPr="00CB73BE">
              <w:rPr>
                <w:sz w:val="20"/>
              </w:rPr>
              <w:t>договорных цен, установленных организациями-исполнителями и включаются</w:t>
            </w:r>
            <w:proofErr w:type="gramEnd"/>
            <w:r w:rsidRPr="00CB73BE">
              <w:rPr>
                <w:sz w:val="20"/>
              </w:rPr>
              <w:t xml:space="preserve"> в графы 7, 8. </w:t>
            </w:r>
          </w:p>
        </w:tc>
      </w:tr>
      <w:tr w:rsidR="005C766A" w:rsidRPr="00CB73BE" w:rsidTr="00B470E8">
        <w:trPr>
          <w:trHeight w:val="932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2.1.1.2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разбивке основных осей зданий и сооружений, переносу их в натуру и закреплению пунктами и знаками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по расчету на основании Сборников цен на изыскательские работы для строительства и включаются в графы 7, 8. Средства на выполнение строительных работ по закреплению в натуре пунктов и знаков включаются в графы 4 и 8.</w:t>
            </w:r>
          </w:p>
        </w:tc>
      </w:tr>
      <w:tr w:rsidR="005C766A" w:rsidRPr="00CB73BE" w:rsidTr="00B470E8">
        <w:trPr>
          <w:trHeight w:val="1867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2.1.1.3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Плата за землю при изъятии (выкупе) земельного участка для строительства, а также выплата земельного налога (аренды) в период строительства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>Определяется на основании Закона РФ "О плате за землю" от 11.10.91 №1738-1 (с изменениями и дополнениями), Земельным кодексом РФ, Постановлением Правительства РФ от 15.03.97 №319 "О порядке нормативной цены земли" (п.8 приложение 8), Федеральным законом "Об оценочной деятельности в РФ", Методическими рекомендациями по определению рыночной стоимости земельных участков, исходя из размеров земельного налога и нормативной цены земли (графы 7</w:t>
            </w:r>
            <w:proofErr w:type="gramEnd"/>
            <w:r w:rsidRPr="00CB73BE">
              <w:rPr>
                <w:sz w:val="20"/>
              </w:rPr>
              <w:t xml:space="preserve"> и  8).</w:t>
            </w:r>
          </w:p>
        </w:tc>
      </w:tr>
      <w:tr w:rsidR="005C766A" w:rsidRPr="00CB73BE" w:rsidTr="00B470E8">
        <w:trPr>
          <w:trHeight w:val="2025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2.1.1.4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получением заказчиком и проектной организацией исходных данных, технических условий на проектирование и проведение необходимых согласований по проектным решениям, а также выполнением по требованию органов местного самоуправления исполнительной контрольной съемки построенных инженерных сетей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на основании расчетов и цен на эти услуги (графы 7 и 8).</w:t>
            </w:r>
          </w:p>
        </w:tc>
      </w:tr>
      <w:tr w:rsidR="005C766A" w:rsidRPr="00CB73BE" w:rsidTr="00B470E8">
        <w:trPr>
          <w:trHeight w:val="33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2.1.2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Освоение территории строительства.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2364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2.1.2.1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компенсацией, возмещением  - определяются по расчету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F51466">
            <w:pPr>
              <w:widowControl w:val="0"/>
              <w:spacing w:before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>Определяются на основании расчета исходя из положений, приведенных в постановлении Правительства РФ от 07.05.03 №262 "Об утверждении правил возмещения собственникам земельных участков, землепользователям, землевладельцам и арендатором земельных участков убытков, причиненных изъятием или временным занятием земельных участков, ограничением прав собственников земельных участков, землепользователей, землевладельцев и арендаторов земельных участков, либо ухудшением качества земель в результате деятельности других лиц" (графы 4, 7 и</w:t>
            </w:r>
            <w:proofErr w:type="gramEnd"/>
            <w:r w:rsidRPr="00CB73BE">
              <w:rPr>
                <w:sz w:val="20"/>
              </w:rPr>
              <w:t xml:space="preserve"> 8)</w:t>
            </w:r>
          </w:p>
        </w:tc>
      </w:tr>
      <w:tr w:rsidR="005C766A" w:rsidRPr="00CB73BE" w:rsidTr="00B470E8">
        <w:trPr>
          <w:trHeight w:val="159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2.1.2.2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освоением территории строительства и включаемые в строительно-монтажные работы: освобождение территории строительства, вырубка лесонасаждений, вывозка мусора от разборки, рекультивация нарушенных земель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на основании проектных данных (объемов работ) и действующих расценок по локальным и объектным сметам (графы 4, 5,7 и 8)</w:t>
            </w:r>
          </w:p>
        </w:tc>
      </w:tr>
      <w:tr w:rsidR="005C766A" w:rsidRPr="00CB73BE" w:rsidTr="00B470E8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8. Временные здания и сооружения.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643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3.1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Размер средств на временные здания и сооружения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ГСН 81-05-01-2001. Сборник сметных норм затрат на строительство временных зданий и сооружений. При расчете необходимо обращать на п.2.1 сборника.</w:t>
            </w:r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9. Прочие работы и затраты.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Дополнительные затраты при производстве строительно-монтажных работ в зимнее время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ГСН 81-05-02-2007. Температурная зона - приложение 1 п.25;  Дополнительные затраты, связанные с воздействием ветра - п.9 Общих положений.</w:t>
            </w:r>
          </w:p>
        </w:tc>
      </w:tr>
      <w:tr w:rsidR="005C766A" w:rsidRPr="00CB73BE" w:rsidTr="00B470E8">
        <w:trPr>
          <w:trHeight w:val="10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содержание действующих постоянных и восстановление их после окончания строительства автомобильных дорог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локальным сметным расчетом на основе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 в соответствии с проектными объемами работ по расценкам сборника №27 "Автомобильные дороги" (графы 4, 5 и 8)</w:t>
            </w:r>
          </w:p>
        </w:tc>
      </w:tr>
      <w:tr w:rsidR="005C766A" w:rsidRPr="00CB73BE" w:rsidTr="00B470E8">
        <w:trPr>
          <w:trHeight w:val="217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перевозке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пассажирского транспорта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расчетами на основе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 с учетом обосновывающих данных транспортных предприятий (графы 7 и 8). </w:t>
            </w:r>
          </w:p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Затраты по перевозке автотранспортом работников строительно-монтажных организаций к месту и обратно разрешается включать в Сводный сметный расчет в том случае, когда местожительство (пункт сбора) рабочих и служащих находится на расстоянии более 3 км от места работы, а коммунальный или пригородный транспорт либо отсутствует либо не в состоянии обеспечить перевозку работников. </w:t>
            </w:r>
          </w:p>
        </w:tc>
      </w:tr>
      <w:tr w:rsidR="005C766A" w:rsidRPr="00CB73BE" w:rsidTr="00B470E8">
        <w:trPr>
          <w:trHeight w:val="984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осуществлением работ вахтовым методом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расчетами на основе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>, которые должны учитывать затраты на содержание и эксплуатацию вахтовых поселков, перевозку вахтовых рабочих до места вахты и оплату суточных в период нахождения в пути (графы 7 и 8)</w:t>
            </w:r>
          </w:p>
        </w:tc>
      </w:tr>
      <w:tr w:rsidR="005C766A" w:rsidRPr="00CB73BE" w:rsidTr="00B470E8">
        <w:trPr>
          <w:trHeight w:val="167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командированием рабочих для выполнения строительных, монтажных и специальных строительных работ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Затраты, связанные с командированием рабочих для выполнения строительных, монтажных и специальных строительных работ определяются расчетами на основании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 или по сметной трудоемкости, определенной в сметной документации (графы 7 и 8), исходя из дальности расстояния до объекта строительства и характера выполняемых работ. Постановление Правительства РФ от 02.10.02 №729.</w:t>
            </w:r>
          </w:p>
        </w:tc>
      </w:tr>
      <w:tr w:rsidR="005C766A" w:rsidRPr="00CB73BE" w:rsidTr="00B470E8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перебазированием техники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Перебазировка техники определяется расчетом на основании ПОС. (графы 7 и 8)</w:t>
            </w:r>
          </w:p>
        </w:tc>
      </w:tr>
      <w:tr w:rsidR="005C766A" w:rsidRPr="00CB73BE" w:rsidTr="00B470E8">
        <w:trPr>
          <w:trHeight w:val="169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премированием за ввод в действие построенных объектов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>Согласно приложения</w:t>
            </w:r>
            <w:proofErr w:type="gramEnd"/>
            <w:r w:rsidRPr="00CB73BE">
              <w:rPr>
                <w:sz w:val="20"/>
              </w:rPr>
              <w:t xml:space="preserve"> 8 п.9.8 МДС 81-35.2004  определяются расчетом от итога по графам 4 и 5 сводного сметного расчета на основании письма Госкомтруда СССР и Госстроя СССР от 10.10.91 № 1336-ВК/1-Д. Письмо Управления ценообразования и сметного нормирования Госстроя России от 24.03.2000 № 10-101. Письмо Минрегионразвития РФ от 17.11.2009 №38292-ИП/08 (графы  7 и 8.)</w:t>
            </w:r>
          </w:p>
        </w:tc>
      </w:tr>
      <w:tr w:rsidR="005C766A" w:rsidRPr="00CB73BE" w:rsidTr="00B470E8">
        <w:trPr>
          <w:trHeight w:val="42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>Исключен</w:t>
            </w:r>
            <w:proofErr w:type="gramEnd"/>
            <w:r w:rsidR="00F6679D">
              <w:rPr>
                <w:sz w:val="20"/>
              </w:rPr>
              <w:t xml:space="preserve"> (страхование строительных организаций)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Приказ Минстроя России от 16.06.2014 №294/</w:t>
            </w:r>
            <w:proofErr w:type="spellStart"/>
            <w:proofErr w:type="gramStart"/>
            <w:r w:rsidRPr="00CB73BE">
              <w:rPr>
                <w:sz w:val="20"/>
              </w:rPr>
              <w:t>пр</w:t>
            </w:r>
            <w:proofErr w:type="spellEnd"/>
            <w:proofErr w:type="gramEnd"/>
          </w:p>
        </w:tc>
      </w:tr>
      <w:tr w:rsidR="005C766A" w:rsidRPr="00CB73BE" w:rsidTr="00B470E8">
        <w:trPr>
          <w:trHeight w:val="133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проведение пусконаладочных работ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Локальные сметные расчеты составляются на основании </w:t>
            </w:r>
          </w:p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МДС 81-27-2007 Методические рекомендации по применению государственных элементных сметных норм на пусконаладочные работы. Письмо </w:t>
            </w:r>
            <w:proofErr w:type="spellStart"/>
            <w:r w:rsidRPr="00CB73BE">
              <w:rPr>
                <w:sz w:val="20"/>
              </w:rPr>
              <w:t>Росстроя</w:t>
            </w:r>
            <w:proofErr w:type="spellEnd"/>
            <w:r w:rsidRPr="00CB73BE">
              <w:rPr>
                <w:sz w:val="20"/>
              </w:rPr>
              <w:t xml:space="preserve"> от 05.09.2007 №СК-3253/02. (графы 7 и 8)</w:t>
            </w:r>
          </w:p>
        </w:tc>
      </w:tr>
      <w:tr w:rsidR="005C766A" w:rsidRPr="00CB73BE" w:rsidTr="00B470E8">
        <w:trPr>
          <w:trHeight w:val="57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Дополнительные затраты на доставку материалов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расчетом, который обосновывается проектом организации строительства</w:t>
            </w:r>
            <w:proofErr w:type="gramStart"/>
            <w:r w:rsidRPr="00CB73BE">
              <w:rPr>
                <w:sz w:val="20"/>
              </w:rPr>
              <w:t>.</w:t>
            </w:r>
            <w:proofErr w:type="gramEnd"/>
            <w:r w:rsidRPr="00CB73BE">
              <w:rPr>
                <w:sz w:val="20"/>
              </w:rPr>
              <w:t xml:space="preserve"> (</w:t>
            </w:r>
            <w:proofErr w:type="gramStart"/>
            <w:r w:rsidRPr="00CB73BE">
              <w:rPr>
                <w:sz w:val="20"/>
              </w:rPr>
              <w:t>г</w:t>
            </w:r>
            <w:proofErr w:type="gramEnd"/>
            <w:r w:rsidRPr="00CB73BE">
              <w:rPr>
                <w:sz w:val="20"/>
              </w:rPr>
              <w:t>рафы 4 и 8)</w:t>
            </w:r>
          </w:p>
        </w:tc>
      </w:tr>
      <w:tr w:rsidR="005C766A" w:rsidRPr="00CB73BE" w:rsidTr="00B470E8">
        <w:trPr>
          <w:trHeight w:val="9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4.11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Средства на возмещение затрат, связанных с подвижным характером работ в строительстве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trike/>
                <w:sz w:val="20"/>
              </w:rPr>
            </w:pPr>
            <w:r w:rsidRPr="00CB73BE">
              <w:rPr>
                <w:sz w:val="20"/>
              </w:rPr>
              <w:t>Не больше 3,74% по итогу глав 1-8 сводного сметного расчета стоимости строительства без учета стоимости оборудования</w:t>
            </w:r>
            <w:proofErr w:type="gramStart"/>
            <w:r w:rsidRPr="00CB73BE">
              <w:rPr>
                <w:sz w:val="20"/>
              </w:rPr>
              <w:t>.</w:t>
            </w:r>
            <w:proofErr w:type="gramEnd"/>
            <w:r w:rsidRPr="00CB73BE">
              <w:rPr>
                <w:sz w:val="20"/>
              </w:rPr>
              <w:t xml:space="preserve"> (</w:t>
            </w:r>
            <w:proofErr w:type="gramStart"/>
            <w:r w:rsidRPr="00CB73BE">
              <w:rPr>
                <w:sz w:val="20"/>
              </w:rPr>
              <w:t>г</w:t>
            </w:r>
            <w:proofErr w:type="gramEnd"/>
            <w:r w:rsidRPr="00CB73BE">
              <w:rPr>
                <w:sz w:val="20"/>
              </w:rPr>
              <w:t>рафы 7 и 8)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10. Содержание службы заказчика. Строительный контроль.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60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5.1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Содержание службы заказчика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Не больше 1,2% от стоимости строительства объекта</w:t>
            </w:r>
            <w:proofErr w:type="gramStart"/>
            <w:r w:rsidRPr="00CB73BE">
              <w:rPr>
                <w:sz w:val="20"/>
              </w:rPr>
              <w:t>.</w:t>
            </w:r>
            <w:proofErr w:type="gramEnd"/>
            <w:r w:rsidRPr="00CB73BE">
              <w:rPr>
                <w:sz w:val="20"/>
              </w:rPr>
              <w:t xml:space="preserve"> </w:t>
            </w:r>
            <w:proofErr w:type="gramStart"/>
            <w:r w:rsidRPr="00CB73BE">
              <w:rPr>
                <w:sz w:val="20"/>
              </w:rPr>
              <w:t>п</w:t>
            </w:r>
            <w:proofErr w:type="gramEnd"/>
            <w:r w:rsidRPr="00CB73BE">
              <w:rPr>
                <w:sz w:val="20"/>
              </w:rPr>
              <w:t>. 3.2.19 (графы 7 и 8)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5.2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Строительный контроль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Постановление Правительства РФ от 21.06.2010 №468 (графы 7 и 8)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102936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Глава 12. </w:t>
            </w:r>
            <w:r w:rsidR="00102936">
              <w:rPr>
                <w:b/>
                <w:bCs/>
                <w:sz w:val="20"/>
              </w:rPr>
              <w:t>П</w:t>
            </w:r>
            <w:r w:rsidR="00102936" w:rsidRPr="00102936">
              <w:rPr>
                <w:b/>
                <w:bCs/>
                <w:sz w:val="20"/>
              </w:rPr>
              <w:t>убличный технологический и ценовой аудит, пр</w:t>
            </w:r>
            <w:r w:rsidR="00102936">
              <w:rPr>
                <w:b/>
                <w:bCs/>
                <w:sz w:val="20"/>
              </w:rPr>
              <w:t>оектные и изыскательские работы.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Проектно-изыскательские работы - </w:t>
            </w:r>
            <w:proofErr w:type="gramStart"/>
            <w:r w:rsidRPr="00CB73BE">
              <w:rPr>
                <w:sz w:val="20"/>
              </w:rPr>
              <w:t>согласно расчета</w:t>
            </w:r>
            <w:proofErr w:type="gramEnd"/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Соответствует  стоимости договора на проектно-изыскательские работы с учетом письма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23.06.09 № 19281-ИП/08 (графы 7 и 8)</w:t>
            </w:r>
          </w:p>
        </w:tc>
      </w:tr>
      <w:tr w:rsidR="005C766A" w:rsidRPr="00CB73BE" w:rsidTr="00B470E8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Экспертиза проекта - (Постановление Правительства РФ от 05.03.07 №145)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Расчет по приложению к Постановлению Правительства РФ от 05.03.2007 №145 и согласно письму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18.06.09 № 18712 - ИМ/08. (графы 7 и 8)</w:t>
            </w:r>
          </w:p>
        </w:tc>
      </w:tr>
      <w:tr w:rsidR="005C766A" w:rsidRPr="00CB73BE" w:rsidTr="00B470E8">
        <w:trPr>
          <w:trHeight w:val="7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Авторский надзор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0,2% от полной сметной стоимости, учтенной в главах 1 - 9 сводного сметного расчета. Письмо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25.02.2009г. №4882-СМ/08. (графы 7 и 8</w:t>
            </w:r>
            <w:proofErr w:type="gramStart"/>
            <w:r w:rsidRPr="00CB73BE">
              <w:rPr>
                <w:sz w:val="20"/>
              </w:rPr>
              <w:t xml:space="preserve"> )</w:t>
            </w:r>
            <w:proofErr w:type="gramEnd"/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Непредвиденные затраты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7.1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Непредвиденные затраты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3% (п.4.96 МДС 81-35.2004)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НДС 18%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На основании Федерального закона РФ от 07.07.2003г №117-ФЗ</w:t>
            </w:r>
            <w:proofErr w:type="gramStart"/>
            <w:r w:rsidRPr="00CB73BE">
              <w:rPr>
                <w:sz w:val="20"/>
              </w:rPr>
              <w:t>.(</w:t>
            </w:r>
            <w:proofErr w:type="gramEnd"/>
            <w:r w:rsidRPr="00CB73BE">
              <w:rPr>
                <w:sz w:val="20"/>
              </w:rPr>
              <w:t>графы 4-8)</w:t>
            </w:r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9</w:t>
            </w:r>
          </w:p>
        </w:tc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Перевод в текущие цены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Сметная документация составляется в базисном, текущем и прогнозном уровне цен. </w:t>
            </w:r>
          </w:p>
        </w:tc>
      </w:tr>
      <w:tr w:rsidR="005C766A" w:rsidRPr="00CB73BE" w:rsidTr="00B470E8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77DFA" w:rsidRPr="00577DFA" w:rsidRDefault="005C766A" w:rsidP="00577DFA">
            <w:pPr>
              <w:pStyle w:val="a4"/>
              <w:tabs>
                <w:tab w:val="left" w:pos="1276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B73BE">
              <w:rPr>
                <w:sz w:val="20"/>
              </w:rPr>
              <w:t xml:space="preserve"> </w:t>
            </w:r>
            <w:r w:rsidRPr="00577DFA">
              <w:rPr>
                <w:rFonts w:ascii="Times New Roman" w:hAnsi="Times New Roman" w:cs="Times New Roman"/>
                <w:sz w:val="20"/>
                <w:szCs w:val="20"/>
              </w:rPr>
              <w:t>Индексы изменения сметной стоимости СМР применяются в соответствии с рекомендациями РЦЦС</w:t>
            </w:r>
            <w:r w:rsidR="00577DFA" w:rsidRPr="00577DFA">
              <w:rPr>
                <w:rFonts w:ascii="Times New Roman" w:hAnsi="Times New Roman" w:cs="Times New Roman"/>
                <w:sz w:val="20"/>
                <w:szCs w:val="20"/>
              </w:rPr>
              <w:t xml:space="preserve"> (Приморский региональный центр по ценообразованию в строительстве и промышленности строительных материалов</w:t>
            </w:r>
            <w:r w:rsidR="00577DFA" w:rsidRPr="00577DFA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5C766A" w:rsidRPr="00CB73BE" w:rsidRDefault="005C766A" w:rsidP="00577DFA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</w:tr>
      <w:tr w:rsidR="005C766A" w:rsidRPr="00CB73BE" w:rsidTr="00B470E8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Индексы по статьям «Оборудование», «Прочие», «Проектные работы» применяются в соответствии с ежеквартальными письмами Минстроя России.</w:t>
            </w:r>
          </w:p>
        </w:tc>
      </w:tr>
    </w:tbl>
    <w:p w:rsidR="005C766A" w:rsidRPr="00CB73BE" w:rsidRDefault="005C766A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rPr>
          <w:sz w:val="26"/>
          <w:szCs w:val="26"/>
        </w:rPr>
      </w:pPr>
    </w:p>
    <w:p w:rsidR="005C766A" w:rsidRPr="00CB73BE" w:rsidRDefault="005C766A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rPr>
          <w:sz w:val="26"/>
          <w:szCs w:val="26"/>
        </w:rPr>
      </w:pPr>
    </w:p>
    <w:p w:rsidR="00670AD1" w:rsidRDefault="00670AD1"/>
    <w:sectPr w:rsidR="00670AD1" w:rsidSect="00B470E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66A"/>
    <w:rsid w:val="000277A9"/>
    <w:rsid w:val="000923C4"/>
    <w:rsid w:val="00097DBF"/>
    <w:rsid w:val="00102936"/>
    <w:rsid w:val="00132151"/>
    <w:rsid w:val="003D4F3A"/>
    <w:rsid w:val="00577DFA"/>
    <w:rsid w:val="005C766A"/>
    <w:rsid w:val="00620B9C"/>
    <w:rsid w:val="00670AD1"/>
    <w:rsid w:val="00B470E8"/>
    <w:rsid w:val="00B94466"/>
    <w:rsid w:val="00F51466"/>
    <w:rsid w:val="00F6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66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4F3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4F3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4F3A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4F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D4F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D4F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D4F3A"/>
    <w:rPr>
      <w:b/>
      <w:bCs/>
    </w:rPr>
  </w:style>
  <w:style w:type="paragraph" w:styleId="a4">
    <w:name w:val="List Paragraph"/>
    <w:basedOn w:val="a"/>
    <w:uiPriority w:val="34"/>
    <w:qFormat/>
    <w:rsid w:val="003D4F3A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66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4F3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4F3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4F3A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4F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D4F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D4F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D4F3A"/>
    <w:rPr>
      <w:b/>
      <w:bCs/>
    </w:rPr>
  </w:style>
  <w:style w:type="paragraph" w:styleId="a4">
    <w:name w:val="List Paragraph"/>
    <w:basedOn w:val="a"/>
    <w:uiPriority w:val="34"/>
    <w:qFormat/>
    <w:rsid w:val="003D4F3A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1703</Words>
  <Characters>9712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Плутенко Татьяна Петровна</dc:creator>
  <cp:lastModifiedBy>Коротаева Татьяна Витальевна</cp:lastModifiedBy>
  <cp:revision>3</cp:revision>
  <dcterms:created xsi:type="dcterms:W3CDTF">2016-12-09T09:19:00Z</dcterms:created>
  <dcterms:modified xsi:type="dcterms:W3CDTF">2016-12-14T01:59:00Z</dcterms:modified>
</cp:coreProperties>
</file>