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26EF1">
        <w:rPr>
          <w:b/>
          <w:sz w:val="22"/>
          <w:szCs w:val="22"/>
        </w:rPr>
        <w:t>16</w:t>
      </w:r>
      <w:r w:rsidR="000246EB">
        <w:rPr>
          <w:b/>
          <w:sz w:val="22"/>
          <w:szCs w:val="22"/>
        </w:rPr>
        <w:t xml:space="preserve">  т  </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C533F3">
        <w:rPr>
          <w:color w:val="000000"/>
          <w:sz w:val="22"/>
          <w:szCs w:val="22"/>
        </w:rPr>
        <w:t>и</w:t>
      </w:r>
      <w:r w:rsidR="003E310D">
        <w:rPr>
          <w:color w:val="000000"/>
          <w:sz w:val="22"/>
          <w:szCs w:val="22"/>
        </w:rPr>
        <w:t xml:space="preserve"> </w:t>
      </w:r>
      <w:r w:rsidRPr="0041756A">
        <w:rPr>
          <w:color w:val="000000"/>
          <w:sz w:val="22"/>
          <w:szCs w:val="22"/>
        </w:rPr>
        <w:t xml:space="preserve"> №</w:t>
      </w:r>
      <w:r w:rsidR="009543BC">
        <w:rPr>
          <w:color w:val="000000"/>
          <w:sz w:val="22"/>
          <w:szCs w:val="22"/>
        </w:rPr>
        <w:t>1</w:t>
      </w:r>
      <w:r w:rsidR="00C533F3">
        <w:rPr>
          <w:color w:val="000000"/>
          <w:sz w:val="22"/>
          <w:szCs w:val="22"/>
        </w:rPr>
        <w:t xml:space="preserve"> </w:t>
      </w:r>
      <w:r w:rsidRPr="0041756A">
        <w:rPr>
          <w:color w:val="000000"/>
          <w:sz w:val="22"/>
          <w:szCs w:val="22"/>
        </w:rPr>
        <w:t>являющ</w:t>
      </w:r>
      <w:r w:rsidR="00C533F3">
        <w:rPr>
          <w:color w:val="000000"/>
          <w:sz w:val="22"/>
          <w:szCs w:val="22"/>
        </w:rPr>
        <w:t xml:space="preserve">ейся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w:t>
      </w:r>
      <w:r w:rsidR="00C533F3">
        <w:rPr>
          <w:color w:val="000000"/>
          <w:sz w:val="22"/>
          <w:szCs w:val="22"/>
        </w:rPr>
        <w:t>е</w:t>
      </w:r>
      <w:r w:rsidRPr="0041756A">
        <w:rPr>
          <w:color w:val="000000"/>
          <w:sz w:val="22"/>
          <w:szCs w:val="22"/>
        </w:rPr>
        <w:t>тся спецификаци</w:t>
      </w:r>
      <w:r w:rsidR="00073B94">
        <w:rPr>
          <w:color w:val="000000"/>
          <w:sz w:val="22"/>
          <w:szCs w:val="22"/>
        </w:rPr>
        <w:t xml:space="preserve">ей </w:t>
      </w:r>
      <w:r w:rsidRPr="0041756A">
        <w:rPr>
          <w:color w:val="000000"/>
          <w:sz w:val="22"/>
          <w:szCs w:val="22"/>
        </w:rPr>
        <w:t>№</w:t>
      </w:r>
      <w:r w:rsidR="00D16353">
        <w:rPr>
          <w:color w:val="000000"/>
          <w:sz w:val="22"/>
          <w:szCs w:val="22"/>
        </w:rPr>
        <w:t>1</w:t>
      </w:r>
      <w:r w:rsidR="00073B94">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073B94">
        <w:rPr>
          <w:color w:val="000000"/>
          <w:sz w:val="22"/>
          <w:szCs w:val="22"/>
        </w:rPr>
        <w:t xml:space="preserve"> </w:t>
      </w:r>
      <w:r w:rsidR="006F0CFB">
        <w:rPr>
          <w:color w:val="000000"/>
          <w:sz w:val="22"/>
          <w:szCs w:val="22"/>
        </w:rPr>
        <w:t>АО «ДРСК»:</w:t>
      </w:r>
      <w:proofErr w:type="gramEnd"/>
      <w:r w:rsidR="00F6119A">
        <w:rPr>
          <w:color w:val="000000"/>
          <w:sz w:val="22"/>
          <w:szCs w:val="22"/>
        </w:rPr>
        <w:t xml:space="preserve"> </w:t>
      </w:r>
      <w:r w:rsidR="006F0CFB">
        <w:rPr>
          <w:color w:val="000000"/>
          <w:sz w:val="22"/>
          <w:szCs w:val="22"/>
        </w:rPr>
        <w:t xml:space="preserve">- </w:t>
      </w:r>
      <w:proofErr w:type="gramStart"/>
      <w:r w:rsidR="004606CA">
        <w:rPr>
          <w:color w:val="000000"/>
          <w:sz w:val="22"/>
          <w:szCs w:val="22"/>
        </w:rPr>
        <w:t xml:space="preserve">Приморские </w:t>
      </w:r>
      <w:r w:rsidR="003537B1">
        <w:rPr>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A87553">
        <w:rPr>
          <w:b/>
          <w:i/>
          <w:color w:val="000000"/>
          <w:sz w:val="22"/>
          <w:szCs w:val="22"/>
        </w:rPr>
        <w:t xml:space="preserve">31 марта </w:t>
      </w:r>
      <w:r w:rsidR="00EF34D0">
        <w:rPr>
          <w:b/>
          <w:i/>
          <w:color w:val="000000"/>
          <w:sz w:val="22"/>
          <w:szCs w:val="22"/>
        </w:rPr>
        <w:t>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D419F1">
        <w:rPr>
          <w:sz w:val="22"/>
          <w:szCs w:val="22"/>
        </w:rPr>
        <w:t xml:space="preserve"> </w:t>
      </w:r>
      <w:r w:rsidR="004278BB">
        <w:rPr>
          <w:sz w:val="22"/>
          <w:szCs w:val="22"/>
        </w:rPr>
        <w:t xml:space="preserve">2017г. </w:t>
      </w:r>
      <w:r w:rsidR="00E957EA" w:rsidRPr="00E957EA">
        <w:rPr>
          <w:sz w:val="22"/>
          <w:szCs w:val="22"/>
        </w:rPr>
        <w:t>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301B0F">
        <w:rPr>
          <w:color w:val="000000"/>
          <w:sz w:val="22"/>
          <w:szCs w:val="22"/>
        </w:rPr>
        <w:t xml:space="preserve"> </w:t>
      </w:r>
      <w:r w:rsidR="004278BB">
        <w:rPr>
          <w:color w:val="000000"/>
          <w:sz w:val="22"/>
          <w:szCs w:val="22"/>
        </w:rPr>
        <w:t>12 месяцев</w:t>
      </w:r>
      <w:r w:rsidR="00301B0F" w:rsidRPr="0074603C">
        <w:rPr>
          <w:i/>
        </w:rPr>
        <w:t>.</w:t>
      </w:r>
      <w:r w:rsidR="00301B0F">
        <w:rPr>
          <w:i/>
        </w:rPr>
        <w:t xml:space="preserve"> </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w:t>
      </w:r>
      <w:bookmarkStart w:id="0" w:name="_GoBack"/>
      <w:bookmarkEnd w:id="0"/>
      <w:r w:rsidRPr="0066400C">
        <w:rPr>
          <w:color w:val="000000"/>
          <w:sz w:val="22"/>
          <w:szCs w:val="22"/>
        </w:rPr>
        <w:t>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424ABE" w:rsidP="00F80D5C">
      <w:pPr>
        <w:pStyle w:val="a8"/>
        <w:ind w:left="0"/>
        <w:jc w:val="both"/>
        <w:rPr>
          <w:rFonts w:eastAsia="Calibri"/>
          <w:b/>
          <w:i/>
          <w:sz w:val="22"/>
          <w:szCs w:val="22"/>
          <w:lang w:eastAsia="en-US"/>
        </w:rPr>
      </w:pPr>
      <w:r>
        <w:rPr>
          <w:b/>
          <w:color w:val="000000"/>
          <w:sz w:val="22"/>
          <w:szCs w:val="22"/>
        </w:rPr>
        <w:t xml:space="preserve">    </w:t>
      </w:r>
      <w:r w:rsidR="00FC73C4" w:rsidRPr="00FC73C4">
        <w:rPr>
          <w:b/>
          <w:color w:val="000000"/>
          <w:sz w:val="22"/>
          <w:szCs w:val="22"/>
        </w:rPr>
        <w:t>4.2.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 xml:space="preserve">за </w:t>
      </w:r>
      <w:r w:rsidR="005440CA">
        <w:rPr>
          <w:color w:val="000000"/>
          <w:sz w:val="22"/>
          <w:szCs w:val="22"/>
        </w:rPr>
        <w:t>Товар</w:t>
      </w:r>
      <w:r w:rsidR="00FC73C4" w:rsidRPr="0041756A">
        <w:rPr>
          <w:color w:val="000000"/>
          <w:sz w:val="22"/>
          <w:szCs w:val="22"/>
        </w:rPr>
        <w:t xml:space="preserve"> производится </w:t>
      </w:r>
      <w:r w:rsidR="00FC73C4" w:rsidRPr="00F80D5C">
        <w:rPr>
          <w:color w:val="000000"/>
          <w:sz w:val="22"/>
          <w:szCs w:val="22"/>
        </w:rPr>
        <w:t>Покупателем</w:t>
      </w:r>
      <w:r w:rsidR="00CA2D61" w:rsidRPr="00F80D5C">
        <w:rPr>
          <w:color w:val="000000"/>
          <w:sz w:val="22"/>
          <w:szCs w:val="22"/>
        </w:rPr>
        <w:t xml:space="preserve"> путем</w:t>
      </w:r>
      <w:r w:rsidR="00FC73C4"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в течение 60 календарных дней с даты подписания акта-приемки товара, товарной накладной (ТОРГ-12).</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6B3508">
        <w:rPr>
          <w:color w:val="000000"/>
          <w:sz w:val="22"/>
          <w:szCs w:val="22"/>
        </w:rPr>
        <w:t xml:space="preserve">и </w:t>
      </w:r>
      <w:r w:rsidRPr="00FD7827">
        <w:rPr>
          <w:color w:val="000000"/>
          <w:sz w:val="22"/>
          <w:szCs w:val="22"/>
        </w:rPr>
        <w:t>№1</w:t>
      </w:r>
      <w:r w:rsidR="006B3508">
        <w:rPr>
          <w:color w:val="000000"/>
          <w:sz w:val="22"/>
          <w:szCs w:val="22"/>
        </w:rPr>
        <w:t xml:space="preserve"> </w:t>
      </w:r>
      <w:r w:rsidRPr="00FD7827">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B48FE" w:rsidRDefault="003B48FE" w:rsidP="00B523FF">
      <w:pPr>
        <w:widowControl w:val="0"/>
        <w:shd w:val="clear" w:color="auto" w:fill="FFFFFF"/>
        <w:tabs>
          <w:tab w:val="left" w:pos="953"/>
        </w:tabs>
        <w:autoSpaceDE w:val="0"/>
        <w:autoSpaceDN w:val="0"/>
        <w:adjustRightInd w:val="0"/>
        <w:ind w:firstLine="284"/>
        <w:jc w:val="both"/>
        <w:rPr>
          <w:sz w:val="22"/>
          <w:szCs w:val="22"/>
        </w:rPr>
      </w:pP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Default="007262CD" w:rsidP="00EF34D0">
      <w:pPr>
        <w:shd w:val="clear" w:color="auto" w:fill="FFFFFF"/>
        <w:tabs>
          <w:tab w:val="left" w:pos="953"/>
        </w:tabs>
        <w:ind w:firstLine="557"/>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6B3508">
        <w:rPr>
          <w:b/>
          <w:i/>
          <w:sz w:val="22"/>
          <w:szCs w:val="22"/>
        </w:rPr>
        <w:t>до</w:t>
      </w:r>
      <w:r w:rsidR="00301B0F" w:rsidRPr="006B3508">
        <w:rPr>
          <w:b/>
          <w:i/>
          <w:sz w:val="22"/>
          <w:szCs w:val="22"/>
        </w:rPr>
        <w:t xml:space="preserve"> 31 </w:t>
      </w:r>
      <w:r w:rsidR="00EF34D0" w:rsidRPr="006B3508">
        <w:rPr>
          <w:b/>
          <w:i/>
          <w:sz w:val="22"/>
          <w:szCs w:val="22"/>
        </w:rPr>
        <w:t xml:space="preserve">июля </w:t>
      </w:r>
      <w:r w:rsidR="00C06A46" w:rsidRPr="006B3508">
        <w:rPr>
          <w:b/>
          <w:i/>
          <w:sz w:val="22"/>
          <w:szCs w:val="22"/>
        </w:rPr>
        <w:t>201</w:t>
      </w:r>
      <w:r w:rsidR="00EF34D0" w:rsidRPr="006B3508">
        <w:rPr>
          <w:b/>
          <w:i/>
          <w:sz w:val="22"/>
          <w:szCs w:val="22"/>
        </w:rPr>
        <w:t>7</w:t>
      </w:r>
      <w:r w:rsidR="00853CC0" w:rsidRPr="006B3508">
        <w:rPr>
          <w:b/>
          <w:i/>
          <w:sz w:val="22"/>
          <w:szCs w:val="22"/>
        </w:rPr>
        <w:t xml:space="preserve"> </w:t>
      </w:r>
      <w:r w:rsidR="00C06A46" w:rsidRPr="006B3508">
        <w:rPr>
          <w:b/>
          <w:i/>
          <w:sz w:val="22"/>
          <w:szCs w:val="22"/>
        </w:rPr>
        <w:t>г</w:t>
      </w:r>
      <w:r w:rsidR="00853CC0" w:rsidRPr="006B350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lastRenderedPageBreak/>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34D0">
        <w:rPr>
          <w:sz w:val="22"/>
          <w:szCs w:val="22"/>
        </w:rPr>
        <w:t>9</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lastRenderedPageBreak/>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13B" w:rsidRDefault="007B113B" w:rsidP="00070A4C">
      <w:r>
        <w:separator/>
      </w:r>
    </w:p>
  </w:endnote>
  <w:endnote w:type="continuationSeparator" w:id="0">
    <w:p w:rsidR="007B113B" w:rsidRDefault="007B113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13B" w:rsidRDefault="007B113B" w:rsidP="00070A4C">
      <w:r>
        <w:separator/>
      </w:r>
    </w:p>
  </w:footnote>
  <w:footnote w:type="continuationSeparator" w:id="0">
    <w:p w:rsidR="007B113B" w:rsidRDefault="007B113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46EB"/>
    <w:rsid w:val="00025FAE"/>
    <w:rsid w:val="000332D5"/>
    <w:rsid w:val="00035D4B"/>
    <w:rsid w:val="00043AA4"/>
    <w:rsid w:val="00044AF6"/>
    <w:rsid w:val="00061284"/>
    <w:rsid w:val="000626EF"/>
    <w:rsid w:val="00064120"/>
    <w:rsid w:val="00066C97"/>
    <w:rsid w:val="00070A4C"/>
    <w:rsid w:val="00073A62"/>
    <w:rsid w:val="00073B94"/>
    <w:rsid w:val="000752CF"/>
    <w:rsid w:val="00081F25"/>
    <w:rsid w:val="00082974"/>
    <w:rsid w:val="00086F69"/>
    <w:rsid w:val="000A0023"/>
    <w:rsid w:val="000C2ADB"/>
    <w:rsid w:val="000C6F46"/>
    <w:rsid w:val="000D254B"/>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1B0F"/>
    <w:rsid w:val="003537B0"/>
    <w:rsid w:val="003537B1"/>
    <w:rsid w:val="00355B00"/>
    <w:rsid w:val="0037436C"/>
    <w:rsid w:val="00391611"/>
    <w:rsid w:val="00391CF2"/>
    <w:rsid w:val="00393FA6"/>
    <w:rsid w:val="003A4EF8"/>
    <w:rsid w:val="003B48FE"/>
    <w:rsid w:val="003D45B2"/>
    <w:rsid w:val="003E310D"/>
    <w:rsid w:val="003E4722"/>
    <w:rsid w:val="003E5BF8"/>
    <w:rsid w:val="003F14A7"/>
    <w:rsid w:val="003F26C8"/>
    <w:rsid w:val="0041756A"/>
    <w:rsid w:val="00424ABE"/>
    <w:rsid w:val="004278BB"/>
    <w:rsid w:val="00443762"/>
    <w:rsid w:val="00453567"/>
    <w:rsid w:val="00454AAD"/>
    <w:rsid w:val="004606CA"/>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26EF1"/>
    <w:rsid w:val="00635912"/>
    <w:rsid w:val="00637B22"/>
    <w:rsid w:val="0064486E"/>
    <w:rsid w:val="0066400C"/>
    <w:rsid w:val="00675812"/>
    <w:rsid w:val="00677E4B"/>
    <w:rsid w:val="0069481A"/>
    <w:rsid w:val="006A0775"/>
    <w:rsid w:val="006A60A3"/>
    <w:rsid w:val="006A79B7"/>
    <w:rsid w:val="006B3508"/>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758F2"/>
    <w:rsid w:val="00780E9E"/>
    <w:rsid w:val="0078188E"/>
    <w:rsid w:val="0078412F"/>
    <w:rsid w:val="007948D6"/>
    <w:rsid w:val="007B113B"/>
    <w:rsid w:val="007D3864"/>
    <w:rsid w:val="007E29E2"/>
    <w:rsid w:val="007E2C95"/>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543BC"/>
    <w:rsid w:val="0097034A"/>
    <w:rsid w:val="00970982"/>
    <w:rsid w:val="00973F38"/>
    <w:rsid w:val="009763EE"/>
    <w:rsid w:val="00980EBE"/>
    <w:rsid w:val="009830D3"/>
    <w:rsid w:val="0098411E"/>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87553"/>
    <w:rsid w:val="00A90031"/>
    <w:rsid w:val="00A97058"/>
    <w:rsid w:val="00AA44C0"/>
    <w:rsid w:val="00AA5AFF"/>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533F3"/>
    <w:rsid w:val="00C66C0A"/>
    <w:rsid w:val="00C70E22"/>
    <w:rsid w:val="00C85F6B"/>
    <w:rsid w:val="00CA155A"/>
    <w:rsid w:val="00CA2D61"/>
    <w:rsid w:val="00CA35A5"/>
    <w:rsid w:val="00CA521A"/>
    <w:rsid w:val="00CD4029"/>
    <w:rsid w:val="00CE279C"/>
    <w:rsid w:val="00CF042A"/>
    <w:rsid w:val="00CF0A07"/>
    <w:rsid w:val="00CF6916"/>
    <w:rsid w:val="00D06E47"/>
    <w:rsid w:val="00D07C92"/>
    <w:rsid w:val="00D16353"/>
    <w:rsid w:val="00D179AA"/>
    <w:rsid w:val="00D22536"/>
    <w:rsid w:val="00D2285D"/>
    <w:rsid w:val="00D403E4"/>
    <w:rsid w:val="00D419F1"/>
    <w:rsid w:val="00D515DC"/>
    <w:rsid w:val="00D51E01"/>
    <w:rsid w:val="00D535C1"/>
    <w:rsid w:val="00D60EB3"/>
    <w:rsid w:val="00D66F01"/>
    <w:rsid w:val="00D90714"/>
    <w:rsid w:val="00D97067"/>
    <w:rsid w:val="00DA6D9A"/>
    <w:rsid w:val="00DB11BF"/>
    <w:rsid w:val="00DB3A1D"/>
    <w:rsid w:val="00DF340E"/>
    <w:rsid w:val="00E23291"/>
    <w:rsid w:val="00E34126"/>
    <w:rsid w:val="00E42F69"/>
    <w:rsid w:val="00E514E7"/>
    <w:rsid w:val="00E6149F"/>
    <w:rsid w:val="00E72B23"/>
    <w:rsid w:val="00E8445C"/>
    <w:rsid w:val="00E85C92"/>
    <w:rsid w:val="00E90928"/>
    <w:rsid w:val="00E92B92"/>
    <w:rsid w:val="00E957EA"/>
    <w:rsid w:val="00EB1163"/>
    <w:rsid w:val="00EE2195"/>
    <w:rsid w:val="00EF23EE"/>
    <w:rsid w:val="00EF34D0"/>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 w:val="00FE5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B7E28-57E2-4560-88AA-7F0725FB4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4189</Words>
  <Characters>23881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2016-07-22T03:58:00Z</cp:lastPrinted>
  <dcterms:created xsi:type="dcterms:W3CDTF">2016-10-31T02:46:00Z</dcterms:created>
  <dcterms:modified xsi:type="dcterms:W3CDTF">2016-10-31T02:46:00Z</dcterms:modified>
</cp:coreProperties>
</file>