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DC" w:rsidRDefault="009279DC" w:rsidP="009279DC">
      <w:pPr>
        <w:rPr>
          <w:b/>
          <w:sz w:val="26"/>
          <w:szCs w:val="26"/>
          <w:u w:val="single"/>
        </w:rPr>
      </w:pPr>
    </w:p>
    <w:p w:rsidR="009279DC" w:rsidRPr="00385FA6" w:rsidRDefault="009279DC" w:rsidP="009279DC">
      <w:pPr>
        <w:jc w:val="center"/>
        <w:rPr>
          <w:b/>
          <w:sz w:val="26"/>
          <w:szCs w:val="26"/>
          <w:u w:val="single"/>
        </w:rPr>
      </w:pPr>
      <w:r w:rsidRPr="00385FA6">
        <w:rPr>
          <w:b/>
          <w:sz w:val="26"/>
          <w:szCs w:val="26"/>
          <w:u w:val="single"/>
        </w:rPr>
        <w:t>ТЕХНИЧЕСКОЕ ЗАДАНИЕ</w:t>
      </w:r>
    </w:p>
    <w:p w:rsidR="009F4B0A" w:rsidRDefault="009279DC" w:rsidP="009F4B0A">
      <w:pPr>
        <w:spacing w:before="0"/>
        <w:jc w:val="center"/>
        <w:rPr>
          <w:b/>
          <w:i/>
          <w:sz w:val="26"/>
          <w:szCs w:val="26"/>
        </w:rPr>
      </w:pPr>
      <w:r w:rsidRPr="000A1AF9">
        <w:rPr>
          <w:b/>
          <w:i/>
          <w:sz w:val="26"/>
          <w:szCs w:val="26"/>
        </w:rPr>
        <w:t xml:space="preserve">на </w:t>
      </w:r>
      <w:r w:rsidR="009F4B0A">
        <w:rPr>
          <w:b/>
          <w:i/>
          <w:sz w:val="26"/>
          <w:szCs w:val="26"/>
        </w:rPr>
        <w:t xml:space="preserve">разработку проектной и рабочей документации </w:t>
      </w:r>
    </w:p>
    <w:p w:rsidR="009279DC" w:rsidRPr="004578FC" w:rsidRDefault="009F4B0A" w:rsidP="009F4B0A">
      <w:pPr>
        <w:spacing w:before="0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 реконструкцию ПС 35/6 кВ «МПС» (замена КРУН 6 кВ)</w:t>
      </w:r>
    </w:p>
    <w:p w:rsidR="009279DC" w:rsidRDefault="009279DC" w:rsidP="009279DC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CB73BE">
        <w:rPr>
          <w:b/>
          <w:sz w:val="26"/>
          <w:szCs w:val="26"/>
        </w:rPr>
        <w:t>1. Основание для проектирования: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1.1. Инвестиционная программа АО «ДРСК» на 20</w:t>
      </w:r>
      <w:r>
        <w:rPr>
          <w:sz w:val="26"/>
          <w:szCs w:val="26"/>
        </w:rPr>
        <w:t>17</w:t>
      </w:r>
      <w:r w:rsidRPr="00CB73BE">
        <w:rPr>
          <w:sz w:val="26"/>
          <w:szCs w:val="26"/>
        </w:rPr>
        <w:t xml:space="preserve"> г.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CB73BE">
        <w:rPr>
          <w:sz w:val="26"/>
          <w:szCs w:val="26"/>
        </w:rPr>
        <w:t xml:space="preserve">. </w:t>
      </w:r>
      <w:r>
        <w:rPr>
          <w:sz w:val="26"/>
          <w:szCs w:val="26"/>
        </w:rPr>
        <w:t>Технические требования на разработку проектной и рабочей документации на реконструкцию ПС 35/6 кВ МПС (замена КРУН 6 кВ), утвержденные 27.06.2016г</w:t>
      </w:r>
      <w:r w:rsidRPr="00CB73BE">
        <w:rPr>
          <w:sz w:val="26"/>
          <w:szCs w:val="26"/>
        </w:rPr>
        <w:t xml:space="preserve">.  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i/>
          <w:iCs/>
          <w:sz w:val="26"/>
          <w:szCs w:val="26"/>
        </w:rPr>
      </w:pP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CB73BE">
        <w:rPr>
          <w:b/>
          <w:sz w:val="26"/>
          <w:szCs w:val="26"/>
        </w:rPr>
        <w:t>2. Основные нормативно-технические документы (НТД), определяющие требования к рабочему проекту: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2.1. Положение о составе разделов проектной документации и требования к их содержанию (Утв. Постановлением Правительства РФ от 16.02.2008 г.</w:t>
      </w:r>
      <w:r w:rsidR="00286715">
        <w:rPr>
          <w:sz w:val="26"/>
          <w:szCs w:val="26"/>
        </w:rPr>
        <w:t>).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2.2. ГОСТ </w:t>
      </w:r>
      <w:proofErr w:type="gramStart"/>
      <w:r w:rsidRPr="00CB73BE">
        <w:rPr>
          <w:sz w:val="26"/>
          <w:szCs w:val="26"/>
        </w:rPr>
        <w:t>Р</w:t>
      </w:r>
      <w:proofErr w:type="gramEnd"/>
      <w:r w:rsidRPr="00CB73BE">
        <w:rPr>
          <w:sz w:val="26"/>
          <w:szCs w:val="26"/>
        </w:rPr>
        <w:t xml:space="preserve"> 21.1101-2009. Основные требования к проектной и рабочей документации.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2.3. ФЗ-123 «Технический регламент о требованиях пожарной безопасности» от 22.07.2008 г.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2.4. ПУЭ и ПТЭ (действующие издания);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2.5. Нормы технологического проектирования ПС переменного тока с высшим  напряжением 35-750 кВ  СО 153-34.20.122-2006;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2.6. Нормы технологического проектирования </w:t>
      </w:r>
      <w:proofErr w:type="gramStart"/>
      <w:r w:rsidRPr="00CB73BE">
        <w:rPr>
          <w:sz w:val="26"/>
          <w:szCs w:val="26"/>
        </w:rPr>
        <w:t>ВЛ</w:t>
      </w:r>
      <w:proofErr w:type="gramEnd"/>
      <w:r w:rsidRPr="00CB73BE">
        <w:rPr>
          <w:sz w:val="26"/>
          <w:szCs w:val="26"/>
        </w:rPr>
        <w:t xml:space="preserve"> электропередачи напряжением 35-750 </w:t>
      </w:r>
      <w:proofErr w:type="spellStart"/>
      <w:r w:rsidRPr="00CB73BE">
        <w:rPr>
          <w:sz w:val="26"/>
          <w:szCs w:val="26"/>
        </w:rPr>
        <w:t>кВ.</w:t>
      </w:r>
      <w:proofErr w:type="spellEnd"/>
      <w:r w:rsidRPr="00CB73BE">
        <w:rPr>
          <w:sz w:val="26"/>
          <w:szCs w:val="26"/>
        </w:rPr>
        <w:t xml:space="preserve"> СО 153-34.20.121-2006;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2.7. СНиП 11-01-95 в части, не противоречащей федеральным законам и постановлениям Правительства Российской Федерации;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2.8. </w:t>
      </w:r>
      <w:hyperlink r:id="rId6" w:tooltip="Утверждена решением Совета директоров ОАО " w:history="1">
        <w:r w:rsidRPr="00CB73BE">
          <w:rPr>
            <w:spacing w:val="4"/>
            <w:sz w:val="26"/>
            <w:szCs w:val="26"/>
          </w:rPr>
          <w:t>Техническая политика ОАО «РАО ЭС Востока» на период до 2020 года</w:t>
        </w:r>
      </w:hyperlink>
      <w:r w:rsidRPr="00CB73BE">
        <w:rPr>
          <w:spacing w:val="4"/>
          <w:sz w:val="26"/>
          <w:szCs w:val="26"/>
        </w:rPr>
        <w:t>.</w:t>
      </w:r>
    </w:p>
    <w:p w:rsidR="009F4B0A" w:rsidRPr="00CB73BE" w:rsidRDefault="009F4B0A" w:rsidP="009F4B0A">
      <w:pPr>
        <w:widowControl w:val="0"/>
        <w:tabs>
          <w:tab w:val="left" w:pos="0"/>
        </w:tabs>
        <w:suppressAutoHyphens/>
        <w:spacing w:before="0"/>
        <w:ind w:firstLine="567"/>
        <w:contextualSpacing/>
        <w:jc w:val="both"/>
        <w:rPr>
          <w:spacing w:val="4"/>
          <w:sz w:val="26"/>
          <w:szCs w:val="26"/>
        </w:rPr>
      </w:pPr>
      <w:r w:rsidRPr="00CB73BE">
        <w:rPr>
          <w:sz w:val="26"/>
          <w:szCs w:val="26"/>
        </w:rPr>
        <w:t>2.9.</w:t>
      </w:r>
      <w:r w:rsidRPr="00CB73BE">
        <w:rPr>
          <w:spacing w:val="4"/>
          <w:sz w:val="26"/>
          <w:szCs w:val="26"/>
        </w:rPr>
        <w:t xml:space="preserve">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9F4B0A" w:rsidRPr="00CB73BE" w:rsidRDefault="009F4B0A" w:rsidP="009F4B0A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2.1</w:t>
      </w:r>
      <w:r w:rsidR="00BC4CF1">
        <w:rPr>
          <w:sz w:val="26"/>
          <w:szCs w:val="26"/>
        </w:rPr>
        <w:t>0</w:t>
      </w:r>
      <w:r w:rsidRPr="00CB73BE">
        <w:rPr>
          <w:sz w:val="26"/>
          <w:szCs w:val="26"/>
        </w:rPr>
        <w:t xml:space="preserve">. </w:t>
      </w:r>
      <w:proofErr w:type="gramStart"/>
      <w:r w:rsidRPr="00CB73BE">
        <w:rPr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</w:t>
      </w:r>
      <w:r w:rsidR="00BC4CF1">
        <w:rPr>
          <w:sz w:val="26"/>
          <w:szCs w:val="26"/>
        </w:rPr>
        <w:t>)</w:t>
      </w:r>
      <w:r w:rsidRPr="00CB73BE">
        <w:rPr>
          <w:sz w:val="26"/>
          <w:szCs w:val="26"/>
        </w:rPr>
        <w:t>.</w:t>
      </w:r>
      <w:proofErr w:type="gramEnd"/>
    </w:p>
    <w:p w:rsidR="009F4B0A" w:rsidRPr="00CB73BE" w:rsidRDefault="009F4B0A" w:rsidP="009F4B0A">
      <w:pPr>
        <w:widowControl w:val="0"/>
        <w:spacing w:before="0"/>
        <w:ind w:firstLine="720"/>
        <w:contextualSpacing/>
        <w:rPr>
          <w:b/>
          <w:sz w:val="26"/>
          <w:szCs w:val="26"/>
        </w:rPr>
      </w:pPr>
    </w:p>
    <w:p w:rsidR="009F4B0A" w:rsidRDefault="009F4B0A" w:rsidP="009F4B0A">
      <w:pPr>
        <w:widowControl w:val="0"/>
        <w:spacing w:before="0"/>
        <w:ind w:firstLine="720"/>
        <w:contextualSpacing/>
        <w:rPr>
          <w:b/>
          <w:sz w:val="26"/>
          <w:szCs w:val="26"/>
        </w:rPr>
      </w:pPr>
      <w:r w:rsidRPr="00CB73BE">
        <w:rPr>
          <w:b/>
          <w:sz w:val="26"/>
          <w:szCs w:val="26"/>
        </w:rPr>
        <w:t>3. Основные характеристики сооружаемого объекта.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1"/>
        <w:gridCol w:w="2800"/>
      </w:tblGrid>
      <w:tr w:rsidR="009F4B0A" w:rsidRPr="00CB73BE" w:rsidTr="00F5335B">
        <w:trPr>
          <w:trHeight w:val="152"/>
          <w:jc w:val="center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9F4B0A" w:rsidP="00F5335B">
            <w:pPr>
              <w:widowControl w:val="0"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  <w:r w:rsidRPr="004039FD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4039FD" w:rsidP="004039FD">
            <w:pPr>
              <w:pStyle w:val="3"/>
            </w:pPr>
            <w:r w:rsidRPr="004039FD">
              <w:t>Значение</w:t>
            </w:r>
          </w:p>
        </w:tc>
      </w:tr>
      <w:tr w:rsidR="009F4B0A" w:rsidRPr="00CB73BE" w:rsidTr="004039FD">
        <w:trPr>
          <w:jc w:val="center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F1" w:rsidRPr="00CB73BE" w:rsidRDefault="009F4B0A" w:rsidP="00F5335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 xml:space="preserve">Номинальные напряжения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4039FD" w:rsidP="004039FD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4039FD">
              <w:rPr>
                <w:sz w:val="26"/>
                <w:szCs w:val="26"/>
              </w:rPr>
              <w:t>35/6 кВ</w:t>
            </w:r>
          </w:p>
        </w:tc>
      </w:tr>
      <w:tr w:rsidR="009F4B0A" w:rsidRPr="00CB73BE" w:rsidTr="00286715">
        <w:trPr>
          <w:jc w:val="center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9F4B0A" w:rsidP="00165C4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4039FD">
              <w:rPr>
                <w:sz w:val="26"/>
                <w:szCs w:val="26"/>
              </w:rPr>
              <w:t>Ко</w:t>
            </w:r>
            <w:r w:rsidR="00BC4CF1" w:rsidRPr="004039FD">
              <w:rPr>
                <w:sz w:val="26"/>
                <w:szCs w:val="26"/>
              </w:rPr>
              <w:t xml:space="preserve">нструктивное исполнение ПС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Default="00165C4B" w:rsidP="00286715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РУ-35 кВ – </w:t>
            </w:r>
            <w:proofErr w:type="gramStart"/>
            <w:r>
              <w:rPr>
                <w:sz w:val="26"/>
                <w:szCs w:val="26"/>
              </w:rPr>
              <w:t>открытое</w:t>
            </w:r>
            <w:proofErr w:type="gramEnd"/>
          </w:p>
          <w:p w:rsidR="00165C4B" w:rsidRPr="004039FD" w:rsidRDefault="00165C4B" w:rsidP="00286715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РУ-6 кВ - КРУН</w:t>
            </w:r>
          </w:p>
        </w:tc>
      </w:tr>
      <w:tr w:rsidR="009F4B0A" w:rsidRPr="00CB73BE" w:rsidTr="00286715">
        <w:trPr>
          <w:jc w:val="center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9F4B0A" w:rsidP="00165C4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4039FD">
              <w:rPr>
                <w:sz w:val="26"/>
                <w:szCs w:val="26"/>
              </w:rPr>
              <w:t>Тип схемы каждого РУ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4B" w:rsidRDefault="00165C4B" w:rsidP="00286715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РУ-35 кВ –</w:t>
            </w:r>
            <w:r w:rsidR="004842B3">
              <w:rPr>
                <w:sz w:val="26"/>
                <w:szCs w:val="26"/>
              </w:rPr>
              <w:t xml:space="preserve"> 4Н</w:t>
            </w:r>
          </w:p>
          <w:p w:rsidR="009F4B0A" w:rsidRPr="004039FD" w:rsidRDefault="00165C4B" w:rsidP="00286715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РУ-6 кВ – </w:t>
            </w:r>
            <w:r w:rsidR="004842B3">
              <w:rPr>
                <w:sz w:val="26"/>
                <w:szCs w:val="26"/>
              </w:rPr>
              <w:t xml:space="preserve">секционированная выключателем секция </w:t>
            </w:r>
            <w:r w:rsidR="004842B3">
              <w:rPr>
                <w:sz w:val="26"/>
                <w:szCs w:val="26"/>
              </w:rPr>
              <w:lastRenderedPageBreak/>
              <w:t>шин</w:t>
            </w:r>
          </w:p>
        </w:tc>
      </w:tr>
      <w:tr w:rsidR="009F4B0A" w:rsidRPr="00CB73BE" w:rsidTr="00286715">
        <w:trPr>
          <w:trHeight w:val="429"/>
          <w:jc w:val="center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9F4B0A" w:rsidP="0028671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4039FD">
              <w:rPr>
                <w:sz w:val="26"/>
                <w:szCs w:val="26"/>
              </w:rPr>
              <w:lastRenderedPageBreak/>
              <w:t>Количество резервных ячеек по каждому РУ</w:t>
            </w:r>
            <w:r w:rsidR="00165C4B">
              <w:rPr>
                <w:sz w:val="26"/>
                <w:szCs w:val="26"/>
              </w:rPr>
              <w:t>-6 кВ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165C4B" w:rsidP="00286715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2-х</w:t>
            </w:r>
          </w:p>
        </w:tc>
      </w:tr>
      <w:tr w:rsidR="009F4B0A" w:rsidRPr="00CB73BE" w:rsidTr="00286715">
        <w:trPr>
          <w:trHeight w:val="421"/>
          <w:jc w:val="center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9F4B0A" w:rsidP="0028671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4039FD">
              <w:rPr>
                <w:sz w:val="26"/>
                <w:szCs w:val="26"/>
              </w:rPr>
              <w:t xml:space="preserve">Количество и мощность силовых трансформаторов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4842B3" w:rsidP="00286715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2х4000 </w:t>
            </w:r>
            <w:proofErr w:type="spellStart"/>
            <w:r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9F4B0A" w:rsidRPr="00CB73BE" w:rsidTr="00286715">
        <w:trPr>
          <w:trHeight w:val="414"/>
          <w:jc w:val="center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9F4B0A" w:rsidP="0028671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4039FD">
              <w:rPr>
                <w:sz w:val="26"/>
                <w:szCs w:val="26"/>
              </w:rPr>
              <w:t>Вид обслуживания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0A" w:rsidRPr="004039FD" w:rsidRDefault="00BC4CF1" w:rsidP="00286715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4039FD">
              <w:rPr>
                <w:sz w:val="26"/>
                <w:szCs w:val="26"/>
              </w:rPr>
              <w:t>ОВБ</w:t>
            </w:r>
          </w:p>
        </w:tc>
      </w:tr>
    </w:tbl>
    <w:p w:rsidR="009F4B0A" w:rsidRPr="00CB73BE" w:rsidRDefault="004039FD" w:rsidP="004039FD">
      <w:pPr>
        <w:widowControl w:val="0"/>
        <w:tabs>
          <w:tab w:val="left" w:pos="8100"/>
        </w:tabs>
        <w:spacing w:before="0"/>
        <w:ind w:firstLine="708"/>
        <w:contextualSpacing/>
        <w:jc w:val="both"/>
      </w:pPr>
      <w:r>
        <w:tab/>
      </w:r>
    </w:p>
    <w:p w:rsidR="009F4B0A" w:rsidRPr="00CB73BE" w:rsidRDefault="009F4B0A" w:rsidP="00BC4CF1">
      <w:pPr>
        <w:widowControl w:val="0"/>
        <w:spacing w:before="0"/>
        <w:ind w:firstLine="567"/>
        <w:contextualSpacing/>
        <w:rPr>
          <w:b/>
          <w:sz w:val="26"/>
          <w:szCs w:val="26"/>
        </w:rPr>
      </w:pPr>
      <w:r w:rsidRPr="00CB73BE">
        <w:rPr>
          <w:b/>
          <w:sz w:val="26"/>
          <w:szCs w:val="26"/>
        </w:rPr>
        <w:t xml:space="preserve">4. Вид строительства и этапы разработки </w:t>
      </w:r>
      <w:r w:rsidR="00BC4CF1">
        <w:rPr>
          <w:b/>
          <w:sz w:val="26"/>
          <w:szCs w:val="26"/>
        </w:rPr>
        <w:t>проекта</w:t>
      </w:r>
      <w:r w:rsidRPr="00CB73BE">
        <w:rPr>
          <w:b/>
          <w:sz w:val="26"/>
          <w:szCs w:val="26"/>
        </w:rPr>
        <w:t>:</w:t>
      </w:r>
    </w:p>
    <w:p w:rsidR="009F4B0A" w:rsidRPr="00CB73BE" w:rsidRDefault="009F4B0A" w:rsidP="00BC4CF1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Вид строительства –</w:t>
      </w:r>
      <w:r w:rsidR="00BC4CF1"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>реконструкция.</w:t>
      </w:r>
    </w:p>
    <w:p w:rsidR="009F4B0A" w:rsidRPr="00CB73BE" w:rsidRDefault="009F4B0A" w:rsidP="00BC4CF1">
      <w:pPr>
        <w:widowControl w:val="0"/>
        <w:tabs>
          <w:tab w:val="left" w:pos="108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Этапы разработки проекта:</w:t>
      </w:r>
    </w:p>
    <w:p w:rsidR="009F4B0A" w:rsidRPr="00CB73BE" w:rsidRDefault="009F4B0A" w:rsidP="00BC4CF1">
      <w:pPr>
        <w:widowControl w:val="0"/>
        <w:tabs>
          <w:tab w:val="left" w:pos="108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CB73BE">
        <w:rPr>
          <w:b/>
          <w:sz w:val="26"/>
          <w:szCs w:val="26"/>
          <w:lang w:val="en-US"/>
        </w:rPr>
        <w:t>I</w:t>
      </w:r>
      <w:r w:rsidRPr="00CB73BE">
        <w:rPr>
          <w:b/>
          <w:sz w:val="26"/>
          <w:szCs w:val="26"/>
        </w:rPr>
        <w:t xml:space="preserve"> этап – разработка, согласование с Заказчиком проектной документации </w:t>
      </w:r>
      <w:r w:rsidRPr="00CB73BE">
        <w:rPr>
          <w:b/>
          <w:i/>
          <w:iCs/>
          <w:sz w:val="26"/>
          <w:szCs w:val="26"/>
        </w:rPr>
        <w:t xml:space="preserve">(в течение </w:t>
      </w:r>
      <w:r w:rsidR="0031303E">
        <w:rPr>
          <w:b/>
          <w:i/>
          <w:iCs/>
          <w:sz w:val="26"/>
          <w:szCs w:val="26"/>
        </w:rPr>
        <w:t>5</w:t>
      </w:r>
      <w:r w:rsidRPr="00CB73BE">
        <w:rPr>
          <w:b/>
          <w:i/>
          <w:iCs/>
          <w:sz w:val="26"/>
          <w:szCs w:val="26"/>
        </w:rPr>
        <w:t>-</w:t>
      </w:r>
      <w:r w:rsidR="0031303E">
        <w:rPr>
          <w:b/>
          <w:i/>
          <w:iCs/>
          <w:sz w:val="26"/>
          <w:szCs w:val="26"/>
        </w:rPr>
        <w:t>и</w:t>
      </w:r>
      <w:r w:rsidRPr="00CB73BE">
        <w:rPr>
          <w:b/>
          <w:i/>
          <w:iCs/>
          <w:sz w:val="26"/>
          <w:szCs w:val="26"/>
        </w:rPr>
        <w:t xml:space="preserve"> </w:t>
      </w:r>
      <w:r w:rsidRPr="00CB73BE">
        <w:rPr>
          <w:i/>
          <w:iCs/>
          <w:sz w:val="26"/>
          <w:szCs w:val="26"/>
        </w:rPr>
        <w:t>месяцев с момента заключения договора на проектирование</w:t>
      </w:r>
      <w:r w:rsidRPr="00CB73BE">
        <w:rPr>
          <w:b/>
          <w:sz w:val="26"/>
          <w:szCs w:val="26"/>
        </w:rPr>
        <w:t>:</w:t>
      </w:r>
    </w:p>
    <w:p w:rsidR="009F4B0A" w:rsidRPr="00CB73BE" w:rsidRDefault="009F4B0A" w:rsidP="003E4B9B">
      <w:pPr>
        <w:widowControl w:val="0"/>
        <w:tabs>
          <w:tab w:val="left" w:pos="709"/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4.</w:t>
      </w:r>
      <w:r w:rsidR="003E4B9B">
        <w:rPr>
          <w:sz w:val="26"/>
          <w:szCs w:val="26"/>
        </w:rPr>
        <w:t>1</w:t>
      </w:r>
      <w:r w:rsidRPr="00CB73BE">
        <w:rPr>
          <w:sz w:val="26"/>
          <w:szCs w:val="26"/>
        </w:rPr>
        <w:t xml:space="preserve">. </w:t>
      </w:r>
      <w:r w:rsidR="003E4B9B" w:rsidRPr="00CB73BE">
        <w:rPr>
          <w:sz w:val="26"/>
          <w:szCs w:val="26"/>
        </w:rPr>
        <w:t>Выполнить обследование</w:t>
      </w:r>
      <w:r w:rsidR="003E4B9B">
        <w:rPr>
          <w:sz w:val="26"/>
          <w:szCs w:val="26"/>
        </w:rPr>
        <w:t xml:space="preserve"> ПС 35 </w:t>
      </w:r>
      <w:proofErr w:type="spellStart"/>
      <w:r w:rsidR="003E4B9B">
        <w:rPr>
          <w:sz w:val="26"/>
          <w:szCs w:val="26"/>
        </w:rPr>
        <w:t>кВ</w:t>
      </w:r>
      <w:proofErr w:type="spellEnd"/>
      <w:r w:rsidR="003E4B9B">
        <w:rPr>
          <w:sz w:val="26"/>
          <w:szCs w:val="26"/>
        </w:rPr>
        <w:t xml:space="preserve"> «МПС»</w:t>
      </w:r>
      <w:r w:rsidRPr="00CB73BE">
        <w:rPr>
          <w:sz w:val="26"/>
          <w:szCs w:val="26"/>
        </w:rPr>
        <w:t xml:space="preserve">, в </w:t>
      </w:r>
      <w:proofErr w:type="spellStart"/>
      <w:r w:rsidRPr="00CB73BE">
        <w:rPr>
          <w:sz w:val="26"/>
          <w:szCs w:val="26"/>
        </w:rPr>
        <w:t>т.ч</w:t>
      </w:r>
      <w:proofErr w:type="spellEnd"/>
      <w:r w:rsidRPr="00CB73BE">
        <w:rPr>
          <w:sz w:val="26"/>
          <w:szCs w:val="26"/>
        </w:rPr>
        <w:t xml:space="preserve">. сбор исходных данных, в объеме, необходимом для </w:t>
      </w:r>
      <w:r w:rsidR="00165C4B">
        <w:rPr>
          <w:sz w:val="26"/>
          <w:szCs w:val="26"/>
        </w:rPr>
        <w:t xml:space="preserve">замены КРУН 6 </w:t>
      </w:r>
      <w:proofErr w:type="spellStart"/>
      <w:r w:rsidR="00165C4B">
        <w:rPr>
          <w:sz w:val="26"/>
          <w:szCs w:val="26"/>
        </w:rPr>
        <w:t>кВ</w:t>
      </w:r>
      <w:r w:rsidRPr="00CB73BE">
        <w:rPr>
          <w:sz w:val="26"/>
          <w:szCs w:val="26"/>
        </w:rPr>
        <w:t>.</w:t>
      </w:r>
      <w:proofErr w:type="spellEnd"/>
    </w:p>
    <w:p w:rsidR="009F4B0A" w:rsidRPr="00CB73BE" w:rsidRDefault="009F4B0A" w:rsidP="0031303E">
      <w:pPr>
        <w:widowControl w:val="0"/>
        <w:tabs>
          <w:tab w:val="left" w:pos="709"/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4.</w:t>
      </w:r>
      <w:r w:rsidR="003E4B9B">
        <w:rPr>
          <w:sz w:val="26"/>
          <w:szCs w:val="26"/>
        </w:rPr>
        <w:t>2</w:t>
      </w:r>
      <w:r w:rsidRPr="00CB73BE">
        <w:rPr>
          <w:sz w:val="26"/>
          <w:szCs w:val="26"/>
        </w:rPr>
        <w:t xml:space="preserve">. </w:t>
      </w:r>
      <w:r w:rsidR="00F16220" w:rsidRPr="003D17F2">
        <w:rPr>
          <w:sz w:val="26"/>
          <w:szCs w:val="26"/>
        </w:rPr>
        <w:t xml:space="preserve">Разработать, согласовать и выдать </w:t>
      </w:r>
      <w:r w:rsidR="00F16220">
        <w:rPr>
          <w:sz w:val="26"/>
          <w:szCs w:val="26"/>
        </w:rPr>
        <w:t xml:space="preserve">проектную </w:t>
      </w:r>
      <w:r w:rsidR="00F16220" w:rsidRPr="003D17F2">
        <w:rPr>
          <w:sz w:val="26"/>
          <w:szCs w:val="26"/>
        </w:rPr>
        <w:t xml:space="preserve">документацию в объеме, достаточном для проведения работ по </w:t>
      </w:r>
      <w:r w:rsidR="00F16220">
        <w:rPr>
          <w:sz w:val="26"/>
          <w:szCs w:val="26"/>
        </w:rPr>
        <w:t>замене КРУН 6 кВ</w:t>
      </w:r>
      <w:r w:rsidR="00F16220" w:rsidRPr="003D17F2">
        <w:rPr>
          <w:sz w:val="26"/>
          <w:szCs w:val="26"/>
        </w:rPr>
        <w:t xml:space="preserve"> на ПС, в соответствии с </w:t>
      </w:r>
      <w:r w:rsidR="00F16220">
        <w:rPr>
          <w:sz w:val="26"/>
          <w:szCs w:val="26"/>
        </w:rPr>
        <w:t>техническими требованиями на разработку проектной и рабочей документации на реконструкцию ПС 35/6 кВ МПС (замена КРУН 6 кВ), утвержденными 27.06.2016г</w:t>
      </w:r>
      <w:r w:rsidR="00F16220" w:rsidRPr="003D17F2">
        <w:rPr>
          <w:sz w:val="26"/>
          <w:szCs w:val="26"/>
        </w:rPr>
        <w:t>., в том числе</w:t>
      </w:r>
      <w:r w:rsidRPr="00CB73BE">
        <w:rPr>
          <w:sz w:val="26"/>
          <w:szCs w:val="26"/>
        </w:rPr>
        <w:t>:</w:t>
      </w:r>
    </w:p>
    <w:p w:rsidR="009F4B0A" w:rsidRPr="00CB73BE" w:rsidRDefault="009F4B0A" w:rsidP="0031303E">
      <w:pPr>
        <w:widowControl w:val="0"/>
        <w:tabs>
          <w:tab w:val="left" w:pos="709"/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- конструктивные и компоновочные решения РУ;</w:t>
      </w:r>
    </w:p>
    <w:p w:rsidR="009F4B0A" w:rsidRPr="00CB73BE" w:rsidRDefault="009F4B0A" w:rsidP="0031303E">
      <w:pPr>
        <w:widowControl w:val="0"/>
        <w:tabs>
          <w:tab w:val="left" w:pos="709"/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- генеральный план ПС с нанесением на чертеже существующего и вновь устанавливаемого оборудования;</w:t>
      </w:r>
    </w:p>
    <w:p w:rsidR="009F4B0A" w:rsidRPr="004C4818" w:rsidRDefault="009F4B0A" w:rsidP="0031303E">
      <w:pPr>
        <w:widowControl w:val="0"/>
        <w:numPr>
          <w:ilvl w:val="0"/>
          <w:numId w:val="22"/>
        </w:numPr>
        <w:tabs>
          <w:tab w:val="left" w:pos="709"/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конструктивные и компоновочные решения;</w:t>
      </w:r>
    </w:p>
    <w:p w:rsidR="009F4B0A" w:rsidRPr="00CB73BE" w:rsidRDefault="009F4B0A" w:rsidP="0031303E">
      <w:pPr>
        <w:widowControl w:val="0"/>
        <w:numPr>
          <w:ilvl w:val="0"/>
          <w:numId w:val="22"/>
        </w:numPr>
        <w:tabs>
          <w:tab w:val="left" w:pos="709"/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решения по системам РЗА, ПА, АИИС КУЭ и связи с указанием мест их размещения;</w:t>
      </w:r>
    </w:p>
    <w:p w:rsidR="009F4B0A" w:rsidRPr="00CB73BE" w:rsidRDefault="009F4B0A" w:rsidP="0031303E">
      <w:pPr>
        <w:widowControl w:val="0"/>
        <w:numPr>
          <w:ilvl w:val="0"/>
          <w:numId w:val="22"/>
        </w:numPr>
        <w:tabs>
          <w:tab w:val="left" w:pos="709"/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организацию управления подстанцией из удаленных центров управления;</w:t>
      </w:r>
    </w:p>
    <w:p w:rsidR="009F4B0A" w:rsidRPr="00CB73BE" w:rsidRDefault="009F4B0A" w:rsidP="0031303E">
      <w:pPr>
        <w:widowControl w:val="0"/>
        <w:numPr>
          <w:ilvl w:val="0"/>
          <w:numId w:val="22"/>
        </w:numPr>
        <w:tabs>
          <w:tab w:val="left" w:pos="709"/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план заходов </w:t>
      </w:r>
      <w:proofErr w:type="gramStart"/>
      <w:r w:rsidRPr="00CB73BE">
        <w:rPr>
          <w:sz w:val="26"/>
          <w:szCs w:val="26"/>
        </w:rPr>
        <w:t>ВЛ</w:t>
      </w:r>
      <w:proofErr w:type="gramEnd"/>
      <w:r w:rsidRPr="00CB73BE">
        <w:rPr>
          <w:sz w:val="26"/>
          <w:szCs w:val="26"/>
        </w:rPr>
        <w:t>/КЛ;</w:t>
      </w:r>
    </w:p>
    <w:p w:rsidR="009F4B0A" w:rsidRPr="00CB73BE" w:rsidRDefault="009F4B0A" w:rsidP="0031303E">
      <w:pPr>
        <w:widowControl w:val="0"/>
        <w:numPr>
          <w:ilvl w:val="0"/>
          <w:numId w:val="22"/>
        </w:numPr>
        <w:tabs>
          <w:tab w:val="left" w:pos="709"/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схемные и технические решения по ограничению токов короткого замыкания (</w:t>
      </w:r>
      <w:proofErr w:type="spellStart"/>
      <w:r w:rsidRPr="00CB73BE">
        <w:rPr>
          <w:sz w:val="26"/>
          <w:szCs w:val="26"/>
        </w:rPr>
        <w:t>т.к.з</w:t>
      </w:r>
      <w:proofErr w:type="spellEnd"/>
      <w:r w:rsidRPr="00CB73BE">
        <w:rPr>
          <w:sz w:val="26"/>
          <w:szCs w:val="26"/>
        </w:rPr>
        <w:t xml:space="preserve">.); </w:t>
      </w:r>
    </w:p>
    <w:p w:rsidR="009F4B0A" w:rsidRPr="00CB73BE" w:rsidRDefault="009F4B0A" w:rsidP="0031303E">
      <w:pPr>
        <w:widowControl w:val="0"/>
        <w:numPr>
          <w:ilvl w:val="0"/>
          <w:numId w:val="22"/>
        </w:numPr>
        <w:tabs>
          <w:tab w:val="left" w:pos="709"/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решения по обеспечению электроснабжения собственных нужд (СН):</w:t>
      </w:r>
    </w:p>
    <w:p w:rsidR="009F4B0A" w:rsidRPr="00CB73BE" w:rsidRDefault="009F4B0A" w:rsidP="0031303E">
      <w:pPr>
        <w:widowControl w:val="0"/>
        <w:numPr>
          <w:ilvl w:val="0"/>
          <w:numId w:val="22"/>
        </w:numPr>
        <w:tabs>
          <w:tab w:val="left" w:pos="709"/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схему системы СН и схему питания СН; вид и количество независимых источников СН; требуемая мощность источников СН;</w:t>
      </w:r>
    </w:p>
    <w:p w:rsidR="009F4B0A" w:rsidRPr="00CB73BE" w:rsidRDefault="009F4B0A" w:rsidP="0031303E">
      <w:pPr>
        <w:widowControl w:val="0"/>
        <w:numPr>
          <w:ilvl w:val="0"/>
          <w:numId w:val="22"/>
        </w:numPr>
        <w:tabs>
          <w:tab w:val="left" w:pos="709"/>
          <w:tab w:val="left" w:pos="851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решения по инженерным системам (противопожарным, водоснабжению и др.); </w:t>
      </w:r>
    </w:p>
    <w:p w:rsidR="003E4B9B" w:rsidRDefault="003E4B9B" w:rsidP="0031303E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B73BE">
        <w:rPr>
          <w:sz w:val="26"/>
          <w:szCs w:val="26"/>
        </w:rPr>
        <w:t>конкурсную документацию для проведения закупок подрядных работ на выполнение СМР</w:t>
      </w:r>
      <w:r>
        <w:rPr>
          <w:sz w:val="26"/>
          <w:szCs w:val="26"/>
        </w:rPr>
        <w:t>;</w:t>
      </w:r>
    </w:p>
    <w:p w:rsidR="003E4B9B" w:rsidRDefault="003E4B9B" w:rsidP="0031303E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B73BE">
        <w:rPr>
          <w:sz w:val="26"/>
          <w:szCs w:val="26"/>
        </w:rPr>
        <w:t xml:space="preserve"> техническую документацию для проведения закупок оборудования и материалов.</w:t>
      </w:r>
    </w:p>
    <w:p w:rsidR="004C4818" w:rsidRPr="00CB73BE" w:rsidRDefault="009F4B0A" w:rsidP="0031303E">
      <w:pPr>
        <w:widowControl w:val="0"/>
        <w:tabs>
          <w:tab w:val="num" w:pos="720"/>
          <w:tab w:val="left" w:pos="162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4.2.</w:t>
      </w:r>
      <w:r w:rsidR="00F16220">
        <w:rPr>
          <w:sz w:val="26"/>
          <w:szCs w:val="26"/>
        </w:rPr>
        <w:t>1</w:t>
      </w:r>
      <w:r w:rsidRPr="00CB73BE">
        <w:rPr>
          <w:sz w:val="26"/>
          <w:szCs w:val="26"/>
        </w:rPr>
        <w:t xml:space="preserve">. </w:t>
      </w:r>
      <w:r w:rsidR="004C4818" w:rsidRPr="00014C56">
        <w:rPr>
          <w:sz w:val="26"/>
          <w:szCs w:val="26"/>
        </w:rPr>
        <w:t xml:space="preserve">Технические решения к устройствам и шкафам РЗА выполнить отдельным томом (разделом), в соответствии с п. 2 </w:t>
      </w:r>
      <w:r w:rsidR="004C4818">
        <w:rPr>
          <w:sz w:val="26"/>
          <w:szCs w:val="26"/>
        </w:rPr>
        <w:t>технических требований на разработку проектной и рабочей документации на реконструкцию ПС 35/6 кВ МПС (замена КРУН 6 кВ), утвержденных 27.06.2016г.</w:t>
      </w:r>
    </w:p>
    <w:p w:rsidR="009F4B0A" w:rsidRDefault="0031303E" w:rsidP="0031303E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DB4137">
        <w:rPr>
          <w:sz w:val="26"/>
          <w:szCs w:val="26"/>
        </w:rPr>
        <w:t>4</w:t>
      </w:r>
      <w:r w:rsidR="009F4B0A" w:rsidRPr="00DB4137">
        <w:rPr>
          <w:sz w:val="26"/>
          <w:szCs w:val="26"/>
        </w:rPr>
        <w:t>.2.</w:t>
      </w:r>
      <w:r w:rsidR="00F16220" w:rsidRPr="00DB4137">
        <w:rPr>
          <w:sz w:val="26"/>
          <w:szCs w:val="26"/>
        </w:rPr>
        <w:t>2</w:t>
      </w:r>
      <w:r w:rsidR="009F4B0A" w:rsidRPr="00DB4137">
        <w:rPr>
          <w:sz w:val="26"/>
          <w:szCs w:val="26"/>
        </w:rPr>
        <w:t xml:space="preserve">. </w:t>
      </w:r>
      <w:r w:rsidR="004C4818" w:rsidRPr="00DB4137">
        <w:rPr>
          <w:sz w:val="26"/>
          <w:szCs w:val="26"/>
        </w:rPr>
        <w:t>Т</w:t>
      </w:r>
      <w:r w:rsidR="009F4B0A" w:rsidRPr="00DB4137">
        <w:rPr>
          <w:sz w:val="26"/>
          <w:szCs w:val="26"/>
        </w:rPr>
        <w:t xml:space="preserve">ехнические решения по созданию автоматизированной информационно-измерительной системе коммерческого учета электроэнергии (АИИС КУЭ) </w:t>
      </w:r>
      <w:r w:rsidRPr="00DB4137">
        <w:rPr>
          <w:sz w:val="26"/>
          <w:szCs w:val="26"/>
        </w:rPr>
        <w:t>выполнить отдельным томом (разделом), в соответствии с п. 3 технических требований на разработку проектной и рабочей документации на реконструкцию ПС 35/6 кВ МПС (замена КРУН 6 кВ), утвержденных 27.06.2016г.</w:t>
      </w:r>
      <w:r w:rsidR="00DB4137" w:rsidRPr="00DB4137">
        <w:rPr>
          <w:sz w:val="26"/>
          <w:szCs w:val="26"/>
        </w:rPr>
        <w:t>, включить следующие документы: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t>Общие данные: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t>- Схема объёмов (направления) учета электроэнергии;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lastRenderedPageBreak/>
        <w:t>- Схема структурная АИИС КУЭ;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t>- Схема расположения оборудования;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t>- Кабельный журнал;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4"/>
          <w:szCs w:val="24"/>
        </w:rPr>
        <w:t xml:space="preserve">- </w:t>
      </w:r>
      <w:r w:rsidRPr="001D512C">
        <w:rPr>
          <w:sz w:val="26"/>
          <w:szCs w:val="26"/>
        </w:rPr>
        <w:t>Схема подключения приборов учета (вторичных цепей, интерфейсных цепей).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t>- Схема электрическая принципиальная системы АИИС КУЭ;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t>- Спецификация оборудования;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t>- Сметный расчет на организацию учета.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t>В пояснительной записке выполнить:</w:t>
      </w:r>
    </w:p>
    <w:p w:rsidR="00DB4137" w:rsidRPr="001D512C" w:rsidRDefault="00DB4137" w:rsidP="00DB4137">
      <w:pPr>
        <w:tabs>
          <w:tab w:val="left" w:pos="1620"/>
        </w:tabs>
        <w:spacing w:before="0"/>
        <w:ind w:firstLine="540"/>
        <w:jc w:val="both"/>
        <w:rPr>
          <w:sz w:val="26"/>
          <w:szCs w:val="26"/>
        </w:rPr>
      </w:pPr>
      <w:r w:rsidRPr="001D512C">
        <w:rPr>
          <w:sz w:val="26"/>
          <w:szCs w:val="26"/>
        </w:rPr>
        <w:t xml:space="preserve">- Расчет по выбору </w:t>
      </w:r>
      <w:proofErr w:type="gramStart"/>
      <w:r w:rsidRPr="001D512C">
        <w:rPr>
          <w:sz w:val="26"/>
          <w:szCs w:val="26"/>
        </w:rPr>
        <w:t>ТТ</w:t>
      </w:r>
      <w:proofErr w:type="gramEnd"/>
      <w:r w:rsidRPr="001D512C">
        <w:rPr>
          <w:sz w:val="26"/>
          <w:szCs w:val="26"/>
        </w:rPr>
        <w:t xml:space="preserve"> и ТН с условиями проверки средств учета на обеспечение требуемой чувствительности при минимальной нагрузке присоединения (глава 1.4, п.1.5.17 ПУЭ [Текст]: Все действующие разделы ПУЭ-6 и ПУЭ-7, - Новосибирск: </w:t>
      </w:r>
      <w:proofErr w:type="spellStart"/>
      <w:proofErr w:type="gramStart"/>
      <w:r w:rsidRPr="001D512C">
        <w:rPr>
          <w:sz w:val="26"/>
          <w:szCs w:val="26"/>
        </w:rPr>
        <w:t>Сиб</w:t>
      </w:r>
      <w:proofErr w:type="spellEnd"/>
      <w:r w:rsidRPr="001D512C">
        <w:rPr>
          <w:sz w:val="26"/>
          <w:szCs w:val="26"/>
        </w:rPr>
        <w:t>. унив. Изд-во, 2009. – 853с., ил.).</w:t>
      </w:r>
      <w:proofErr w:type="gramEnd"/>
    </w:p>
    <w:p w:rsidR="00B92234" w:rsidRPr="00B92234" w:rsidRDefault="00DB4137" w:rsidP="00DB4137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color w:val="FF0000"/>
          <w:sz w:val="26"/>
          <w:szCs w:val="26"/>
        </w:rPr>
      </w:pPr>
      <w:r w:rsidRPr="001D512C">
        <w:rPr>
          <w:sz w:val="26"/>
          <w:szCs w:val="26"/>
        </w:rPr>
        <w:t>- Проверку нагрузки вторичных обмоток измерительных трансформаторов и проверка сечения и длинны проводов и кабелей цепей напряжения по потерям напряжения</w:t>
      </w:r>
      <w:proofErr w:type="gramStart"/>
      <w:r w:rsidRPr="001D512C">
        <w:rPr>
          <w:sz w:val="26"/>
          <w:szCs w:val="26"/>
        </w:rPr>
        <w:t>.</w:t>
      </w:r>
      <w:proofErr w:type="gramEnd"/>
      <w:r w:rsidRPr="001D512C">
        <w:rPr>
          <w:sz w:val="26"/>
          <w:szCs w:val="26"/>
        </w:rPr>
        <w:t xml:space="preserve"> (</w:t>
      </w:r>
      <w:proofErr w:type="gramStart"/>
      <w:r w:rsidRPr="001D512C">
        <w:rPr>
          <w:sz w:val="26"/>
          <w:szCs w:val="26"/>
        </w:rPr>
        <w:t>п</w:t>
      </w:r>
      <w:proofErr w:type="gramEnd"/>
      <w:r w:rsidRPr="001D512C">
        <w:rPr>
          <w:sz w:val="26"/>
          <w:szCs w:val="26"/>
        </w:rPr>
        <w:t xml:space="preserve">.1.5.19 ПУЭ [Текст]: Все действующие разделы ПУЭ-6 и ПУЭ-7, - Новосибирск: </w:t>
      </w:r>
      <w:proofErr w:type="spellStart"/>
      <w:proofErr w:type="gramStart"/>
      <w:r w:rsidRPr="001D512C">
        <w:rPr>
          <w:sz w:val="26"/>
          <w:szCs w:val="26"/>
        </w:rPr>
        <w:t>Сиб</w:t>
      </w:r>
      <w:proofErr w:type="spellEnd"/>
      <w:r w:rsidRPr="001D512C">
        <w:rPr>
          <w:sz w:val="26"/>
          <w:szCs w:val="26"/>
        </w:rPr>
        <w:t>. унив. Изд-во, 2009. – 853с., ил.)</w:t>
      </w:r>
      <w:proofErr w:type="gramEnd"/>
    </w:p>
    <w:p w:rsidR="009F4B0A" w:rsidRPr="00CB73BE" w:rsidRDefault="009F4B0A" w:rsidP="0031303E">
      <w:pPr>
        <w:widowControl w:val="0"/>
        <w:tabs>
          <w:tab w:val="left" w:pos="144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4.2.</w:t>
      </w:r>
      <w:r w:rsidR="00F16220">
        <w:rPr>
          <w:sz w:val="26"/>
          <w:szCs w:val="26"/>
        </w:rPr>
        <w:t>3</w:t>
      </w:r>
      <w:r w:rsidRPr="00CB73BE">
        <w:rPr>
          <w:sz w:val="26"/>
          <w:szCs w:val="26"/>
        </w:rPr>
        <w:t xml:space="preserve">. Выполнить (отдельным томом) организационно-технические решения по созданию систем </w:t>
      </w:r>
      <w:r w:rsidRPr="00DB4137">
        <w:rPr>
          <w:sz w:val="26"/>
          <w:szCs w:val="26"/>
        </w:rPr>
        <w:t xml:space="preserve">связи </w:t>
      </w:r>
      <w:r w:rsidR="00B92234" w:rsidRPr="00DB4137">
        <w:rPr>
          <w:sz w:val="26"/>
          <w:szCs w:val="26"/>
        </w:rPr>
        <w:t>(СДТУ)</w:t>
      </w:r>
      <w:r w:rsidR="00B92234"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>для передачи корпоративной и технологической информации</w:t>
      </w:r>
      <w:r w:rsidR="0031303E">
        <w:rPr>
          <w:sz w:val="26"/>
          <w:szCs w:val="26"/>
        </w:rPr>
        <w:t>,</w:t>
      </w:r>
      <w:r w:rsidR="0031303E" w:rsidRPr="0031303E">
        <w:rPr>
          <w:sz w:val="26"/>
          <w:szCs w:val="26"/>
        </w:rPr>
        <w:t xml:space="preserve"> </w:t>
      </w:r>
      <w:r w:rsidR="0031303E" w:rsidRPr="00014C56">
        <w:rPr>
          <w:sz w:val="26"/>
          <w:szCs w:val="26"/>
        </w:rPr>
        <w:t xml:space="preserve">в соответствии с п. </w:t>
      </w:r>
      <w:r w:rsidR="0031303E">
        <w:rPr>
          <w:sz w:val="26"/>
          <w:szCs w:val="26"/>
        </w:rPr>
        <w:t>4</w:t>
      </w:r>
      <w:r w:rsidR="0031303E" w:rsidRPr="00014C56">
        <w:rPr>
          <w:sz w:val="26"/>
          <w:szCs w:val="26"/>
        </w:rPr>
        <w:t xml:space="preserve"> </w:t>
      </w:r>
      <w:r w:rsidR="0031303E">
        <w:rPr>
          <w:sz w:val="26"/>
          <w:szCs w:val="26"/>
        </w:rPr>
        <w:t>технических требований на разработку проектной и рабочей документации на реконструкцию ПС 35/6 кВ МПС (замена КРУН 6 кВ), утвержденных 27.06.2016г.</w:t>
      </w:r>
    </w:p>
    <w:p w:rsidR="009F4B0A" w:rsidRPr="00CB73BE" w:rsidRDefault="009F4B0A" w:rsidP="0031303E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4.2.</w:t>
      </w:r>
      <w:r w:rsidR="00F16220">
        <w:rPr>
          <w:sz w:val="26"/>
          <w:szCs w:val="26"/>
        </w:rPr>
        <w:t>4</w:t>
      </w:r>
      <w:r w:rsidR="0031303E">
        <w:rPr>
          <w:sz w:val="26"/>
          <w:szCs w:val="26"/>
        </w:rPr>
        <w:t>.</w:t>
      </w:r>
      <w:r w:rsidRPr="00CB73BE">
        <w:rPr>
          <w:sz w:val="26"/>
          <w:szCs w:val="26"/>
        </w:rPr>
        <w:t xml:space="preserve"> Решения по электромагнитной совместимости устройств РЗА, ПА, АСУ, ТП, АИИС КУЭ, связи, обеспечивающих их нормальную работу, с отражением в отдельном разделе.</w:t>
      </w:r>
    </w:p>
    <w:p w:rsidR="009F4B0A" w:rsidRPr="00CB73BE" w:rsidRDefault="009F4B0A" w:rsidP="0031303E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4.2.</w:t>
      </w:r>
      <w:r w:rsidR="00F16220">
        <w:rPr>
          <w:sz w:val="26"/>
          <w:szCs w:val="26"/>
        </w:rPr>
        <w:t>5</w:t>
      </w:r>
      <w:r w:rsidRPr="00CB73BE">
        <w:rPr>
          <w:sz w:val="26"/>
          <w:szCs w:val="26"/>
        </w:rPr>
        <w:t xml:space="preserve"> Решения по организации электропитания систем РЗА, ПА, АСУ ТП, систем связи и других систем.</w:t>
      </w:r>
    </w:p>
    <w:p w:rsidR="009F4B0A" w:rsidRPr="00CB73BE" w:rsidRDefault="009F4B0A" w:rsidP="0031303E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4.2.</w:t>
      </w:r>
      <w:r w:rsidR="00F16220">
        <w:rPr>
          <w:sz w:val="26"/>
          <w:szCs w:val="26"/>
        </w:rPr>
        <w:t>6</w:t>
      </w:r>
      <w:r w:rsidRPr="00CB73BE">
        <w:rPr>
          <w:sz w:val="26"/>
          <w:szCs w:val="26"/>
        </w:rPr>
        <w:t>. Разработать и выдать конкурсную документацию в объеме, достаточном для проведения закупок подрядных работ на выполнение СМР, техническую документацию для проведения закупок оборудования и материалов.</w:t>
      </w:r>
    </w:p>
    <w:p w:rsidR="009F4B0A" w:rsidRPr="00CB73BE" w:rsidRDefault="009F4B0A" w:rsidP="0031303E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4.</w:t>
      </w:r>
      <w:r w:rsidR="00F16220">
        <w:rPr>
          <w:sz w:val="26"/>
          <w:szCs w:val="26"/>
        </w:rPr>
        <w:t>3.</w:t>
      </w:r>
      <w:r w:rsidRPr="00CB73BE">
        <w:rPr>
          <w:sz w:val="26"/>
          <w:szCs w:val="26"/>
        </w:rPr>
        <w:t xml:space="preserve"> Итогом </w:t>
      </w:r>
      <w:r w:rsidR="00F22539">
        <w:rPr>
          <w:sz w:val="26"/>
          <w:szCs w:val="26"/>
          <w:lang w:val="en-US"/>
        </w:rPr>
        <w:t>I</w:t>
      </w:r>
      <w:r w:rsidRPr="00CB73BE">
        <w:rPr>
          <w:sz w:val="26"/>
          <w:szCs w:val="26"/>
        </w:rPr>
        <w:t xml:space="preserve"> этапа является </w:t>
      </w:r>
      <w:r w:rsidR="00DB4137">
        <w:rPr>
          <w:sz w:val="26"/>
          <w:szCs w:val="26"/>
        </w:rPr>
        <w:t>письменное согласование</w:t>
      </w:r>
      <w:r w:rsidRPr="00CB73BE">
        <w:rPr>
          <w:sz w:val="26"/>
          <w:szCs w:val="26"/>
        </w:rPr>
        <w:t xml:space="preserve"> Заказчиком проектной документации.   </w:t>
      </w:r>
    </w:p>
    <w:p w:rsidR="009F4B0A" w:rsidRPr="00CB73BE" w:rsidRDefault="009F4B0A" w:rsidP="0031303E">
      <w:pPr>
        <w:widowControl w:val="0"/>
        <w:tabs>
          <w:tab w:val="left" w:pos="108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CB73BE">
        <w:rPr>
          <w:b/>
          <w:sz w:val="26"/>
          <w:szCs w:val="26"/>
          <w:lang w:val="en-US"/>
        </w:rPr>
        <w:t>II</w:t>
      </w:r>
      <w:r w:rsidRPr="00CB73BE">
        <w:rPr>
          <w:b/>
          <w:sz w:val="26"/>
          <w:szCs w:val="26"/>
        </w:rPr>
        <w:t xml:space="preserve"> этап – разработка рабочей документации</w:t>
      </w:r>
      <w:r w:rsidRPr="00CB73BE">
        <w:rPr>
          <w:sz w:val="26"/>
          <w:szCs w:val="26"/>
        </w:rPr>
        <w:t xml:space="preserve"> </w:t>
      </w:r>
      <w:r w:rsidRPr="00CB73BE">
        <w:rPr>
          <w:b/>
          <w:i/>
          <w:iCs/>
          <w:sz w:val="26"/>
          <w:szCs w:val="26"/>
        </w:rPr>
        <w:t>(</w:t>
      </w:r>
      <w:r w:rsidR="0031303E">
        <w:rPr>
          <w:b/>
          <w:i/>
          <w:iCs/>
          <w:sz w:val="26"/>
          <w:szCs w:val="26"/>
        </w:rPr>
        <w:t>не позднее 30.12.2017г.</w:t>
      </w:r>
      <w:r w:rsidRPr="00CB73BE">
        <w:rPr>
          <w:b/>
          <w:i/>
          <w:iCs/>
          <w:sz w:val="26"/>
          <w:szCs w:val="26"/>
        </w:rPr>
        <w:t>)</w:t>
      </w:r>
      <w:r w:rsidRPr="00CB73BE">
        <w:rPr>
          <w:b/>
          <w:sz w:val="26"/>
          <w:szCs w:val="26"/>
        </w:rPr>
        <w:t>:</w:t>
      </w:r>
    </w:p>
    <w:p w:rsidR="009F4B0A" w:rsidRDefault="009F4B0A" w:rsidP="0031303E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4.</w:t>
      </w:r>
      <w:r w:rsidR="00165C4B">
        <w:rPr>
          <w:sz w:val="26"/>
          <w:szCs w:val="26"/>
        </w:rPr>
        <w:t>4</w:t>
      </w:r>
      <w:r w:rsidRPr="00CB73BE">
        <w:rPr>
          <w:sz w:val="26"/>
          <w:szCs w:val="26"/>
        </w:rPr>
        <w:t>. Разработать рабочую документацию, обеспечивающую реализацию принятых в утвержденной проектной документации технических решений объекта, необходимых для производства строительно-монтажных и пусконаладочных работ.</w:t>
      </w:r>
    </w:p>
    <w:p w:rsidR="00AB5FBC" w:rsidRDefault="00AB5FBC" w:rsidP="00AB5FBC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DB4137">
        <w:rPr>
          <w:sz w:val="26"/>
          <w:szCs w:val="26"/>
        </w:rPr>
        <w:t>4.</w:t>
      </w:r>
      <w:r w:rsidR="00165C4B" w:rsidRPr="00DB4137">
        <w:rPr>
          <w:sz w:val="26"/>
          <w:szCs w:val="26"/>
        </w:rPr>
        <w:t>5.</w:t>
      </w:r>
      <w:r w:rsidRPr="00DB4137">
        <w:rPr>
          <w:sz w:val="26"/>
          <w:szCs w:val="26"/>
        </w:rPr>
        <w:t xml:space="preserve"> Итогом </w:t>
      </w:r>
      <w:r w:rsidRPr="00DB4137">
        <w:rPr>
          <w:sz w:val="26"/>
          <w:szCs w:val="26"/>
          <w:lang w:val="en-US"/>
        </w:rPr>
        <w:t>II</w:t>
      </w:r>
      <w:r w:rsidRPr="00DB4137">
        <w:rPr>
          <w:sz w:val="26"/>
          <w:szCs w:val="26"/>
        </w:rPr>
        <w:t xml:space="preserve"> этапа является </w:t>
      </w:r>
      <w:r w:rsidR="00DB4137" w:rsidRPr="00DB4137">
        <w:rPr>
          <w:sz w:val="26"/>
          <w:szCs w:val="26"/>
        </w:rPr>
        <w:t>письменное согласование</w:t>
      </w:r>
      <w:r w:rsidRPr="00DB4137">
        <w:rPr>
          <w:sz w:val="26"/>
          <w:szCs w:val="26"/>
        </w:rPr>
        <w:t xml:space="preserve"> Заказчиком рабочей документации.</w:t>
      </w:r>
      <w:r w:rsidRPr="00CB73BE">
        <w:rPr>
          <w:sz w:val="26"/>
          <w:szCs w:val="26"/>
        </w:rPr>
        <w:t xml:space="preserve">   </w:t>
      </w:r>
    </w:p>
    <w:p w:rsidR="00AB5FBC" w:rsidRPr="00CB73BE" w:rsidRDefault="00AB5FBC" w:rsidP="0031303E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</w:p>
    <w:p w:rsidR="009F4B0A" w:rsidRPr="002A79DE" w:rsidRDefault="002A79DE" w:rsidP="00AB5FBC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before="0"/>
        <w:ind w:firstLine="567"/>
        <w:contextualSpacing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5</w:t>
      </w:r>
      <w:r w:rsidR="0031303E" w:rsidRPr="002A79DE">
        <w:rPr>
          <w:b/>
          <w:sz w:val="26"/>
          <w:szCs w:val="26"/>
        </w:rPr>
        <w:t xml:space="preserve">. </w:t>
      </w:r>
      <w:r w:rsidR="009F4B0A" w:rsidRPr="002A79DE">
        <w:rPr>
          <w:b/>
          <w:bCs/>
          <w:sz w:val="26"/>
          <w:szCs w:val="26"/>
        </w:rPr>
        <w:t>Требования к выполнению сметных расчетов:</w:t>
      </w:r>
    </w:p>
    <w:p w:rsidR="009F4B0A" w:rsidRPr="002A79DE" w:rsidRDefault="009F4B0A" w:rsidP="00AB5FBC">
      <w:pPr>
        <w:pStyle w:val="a8"/>
        <w:numPr>
          <w:ilvl w:val="1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6"/>
          <w:szCs w:val="26"/>
        </w:rPr>
      </w:pPr>
      <w:r w:rsidRPr="002A79DE">
        <w:rPr>
          <w:rFonts w:ascii="Times New Roman" w:hAnsi="Times New Roman"/>
          <w:sz w:val="26"/>
          <w:szCs w:val="26"/>
        </w:rPr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9F4B0A" w:rsidRPr="002A79DE" w:rsidRDefault="002A79DE" w:rsidP="00AB5FBC">
      <w:pPr>
        <w:tabs>
          <w:tab w:val="left" w:pos="30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A79DE">
        <w:rPr>
          <w:sz w:val="26"/>
          <w:szCs w:val="26"/>
        </w:rPr>
        <w:t>.1</w:t>
      </w:r>
      <w:r w:rsidR="009F4B0A" w:rsidRPr="002A79DE">
        <w:rPr>
          <w:sz w:val="26"/>
          <w:szCs w:val="26"/>
        </w:rPr>
        <w:t xml:space="preserve">.1. «Порядок определения стоимости проектных работ»; </w:t>
      </w:r>
    </w:p>
    <w:p w:rsidR="009F4B0A" w:rsidRPr="002A79DE" w:rsidRDefault="002A79DE" w:rsidP="00AB5FBC">
      <w:pPr>
        <w:tabs>
          <w:tab w:val="left" w:pos="1276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A79DE">
        <w:rPr>
          <w:sz w:val="26"/>
          <w:szCs w:val="26"/>
        </w:rPr>
        <w:t>.</w:t>
      </w:r>
      <w:r w:rsidR="009F4B0A" w:rsidRPr="002A79DE">
        <w:rPr>
          <w:sz w:val="26"/>
          <w:szCs w:val="26"/>
        </w:rPr>
        <w:t>1.</w:t>
      </w:r>
      <w:r w:rsidRPr="002A79DE">
        <w:rPr>
          <w:sz w:val="26"/>
          <w:szCs w:val="26"/>
        </w:rPr>
        <w:t>2</w:t>
      </w:r>
      <w:r w:rsidR="009F4B0A" w:rsidRPr="002A79DE">
        <w:rPr>
          <w:sz w:val="26"/>
          <w:szCs w:val="26"/>
        </w:rPr>
        <w:t>.</w:t>
      </w:r>
      <w:r w:rsidR="009F4B0A" w:rsidRPr="002A79DE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9F4B0A" w:rsidRPr="002A79DE" w:rsidRDefault="002A79DE" w:rsidP="00AB5FBC">
      <w:pPr>
        <w:tabs>
          <w:tab w:val="left" w:pos="30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A79DE">
        <w:rPr>
          <w:sz w:val="26"/>
          <w:szCs w:val="26"/>
        </w:rPr>
        <w:t>.</w:t>
      </w:r>
      <w:r w:rsidR="009F4B0A" w:rsidRPr="002A79DE">
        <w:rPr>
          <w:sz w:val="26"/>
          <w:szCs w:val="26"/>
        </w:rPr>
        <w:t>1.</w:t>
      </w:r>
      <w:r w:rsidRPr="002A79DE">
        <w:rPr>
          <w:sz w:val="26"/>
          <w:szCs w:val="26"/>
        </w:rPr>
        <w:t>3</w:t>
      </w:r>
      <w:r w:rsidR="009F4B0A" w:rsidRPr="002A79DE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9F4B0A" w:rsidRPr="002A79DE" w:rsidRDefault="002A79DE" w:rsidP="00AB5FBC">
      <w:pPr>
        <w:tabs>
          <w:tab w:val="left" w:pos="1276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2A79DE">
        <w:rPr>
          <w:sz w:val="26"/>
          <w:szCs w:val="26"/>
        </w:rPr>
        <w:lastRenderedPageBreak/>
        <w:t xml:space="preserve">5.2. </w:t>
      </w:r>
      <w:r w:rsidR="009F4B0A" w:rsidRPr="002A79DE">
        <w:rPr>
          <w:sz w:val="26"/>
          <w:szCs w:val="26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9F4B0A" w:rsidRPr="002A79DE">
        <w:rPr>
          <w:sz w:val="26"/>
          <w:szCs w:val="26"/>
        </w:rPr>
        <w:t>к</w:t>
      </w:r>
      <w:proofErr w:type="gramEnd"/>
      <w:r w:rsidR="009F4B0A" w:rsidRPr="002A79DE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9F4B0A" w:rsidRPr="002A79DE" w:rsidRDefault="009F4B0A" w:rsidP="00AB5FBC">
      <w:pPr>
        <w:pStyle w:val="a8"/>
        <w:numPr>
          <w:ilvl w:val="2"/>
          <w:numId w:val="29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A79DE">
        <w:rPr>
          <w:rFonts w:ascii="Times New Roman" w:hAnsi="Times New Roman"/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 (ФЕР-2001), включенных в федеральный реестр сметных нормативов РФ.  </w:t>
      </w:r>
    </w:p>
    <w:p w:rsidR="009F4B0A" w:rsidRPr="002A79DE" w:rsidRDefault="009F4B0A" w:rsidP="002A79DE">
      <w:pPr>
        <w:pStyle w:val="a8"/>
        <w:numPr>
          <w:ilvl w:val="2"/>
          <w:numId w:val="29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A79DE">
        <w:rPr>
          <w:rFonts w:ascii="Times New Roman" w:hAnsi="Times New Roman"/>
          <w:sz w:val="26"/>
          <w:szCs w:val="26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9F4B0A" w:rsidRPr="00DB4137" w:rsidRDefault="002A79DE" w:rsidP="002A79DE">
      <w:p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DB4137">
        <w:rPr>
          <w:sz w:val="26"/>
          <w:szCs w:val="26"/>
        </w:rPr>
        <w:t>5.</w:t>
      </w:r>
      <w:r w:rsidR="009F4B0A" w:rsidRPr="00DB4137">
        <w:rPr>
          <w:sz w:val="26"/>
          <w:szCs w:val="26"/>
        </w:rPr>
        <w:t>2.2.1.</w:t>
      </w:r>
      <w:r w:rsidR="009F4B0A" w:rsidRPr="00DB4137">
        <w:rPr>
          <w:sz w:val="26"/>
          <w:szCs w:val="26"/>
        </w:rPr>
        <w:tab/>
        <w:t>Для воздушных и кабельных линий напряжением 0,4-10 кВ в соответствии с индексами по объектам строительства:</w:t>
      </w:r>
    </w:p>
    <w:p w:rsidR="009F4B0A" w:rsidRPr="00DB4137" w:rsidRDefault="009F4B0A" w:rsidP="002A79DE">
      <w:p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B4137">
        <w:rPr>
          <w:sz w:val="26"/>
          <w:szCs w:val="26"/>
        </w:rPr>
        <w:t xml:space="preserve">- </w:t>
      </w:r>
      <w:r w:rsidRPr="00DB4137">
        <w:rPr>
          <w:rFonts w:ascii="Times New Roman CYR" w:hAnsi="Times New Roman CYR" w:cs="Times New Roman CYR"/>
          <w:sz w:val="26"/>
          <w:szCs w:val="26"/>
        </w:rPr>
        <w:t>воздушная прокладка провода с медными жилами;</w:t>
      </w:r>
    </w:p>
    <w:p w:rsidR="009F4B0A" w:rsidRPr="00DB4137" w:rsidRDefault="009F4B0A" w:rsidP="002A79DE">
      <w:p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B4137">
        <w:rPr>
          <w:sz w:val="26"/>
          <w:szCs w:val="26"/>
        </w:rPr>
        <w:t xml:space="preserve">- </w:t>
      </w:r>
      <w:r w:rsidRPr="00DB4137">
        <w:rPr>
          <w:rFonts w:ascii="Times New Roman CYR" w:hAnsi="Times New Roman CYR" w:cs="Times New Roman CYR"/>
          <w:sz w:val="26"/>
          <w:szCs w:val="26"/>
        </w:rPr>
        <w:t>воздушная прокладка провода с алюминиевыми жилами;</w:t>
      </w:r>
    </w:p>
    <w:p w:rsidR="009F4B0A" w:rsidRPr="00DB4137" w:rsidRDefault="009F4B0A" w:rsidP="002A79DE">
      <w:p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B4137">
        <w:rPr>
          <w:sz w:val="26"/>
          <w:szCs w:val="26"/>
        </w:rPr>
        <w:t xml:space="preserve">- </w:t>
      </w:r>
      <w:r w:rsidRPr="00DB4137">
        <w:rPr>
          <w:rFonts w:ascii="Times New Roman CYR" w:hAnsi="Times New Roman CYR" w:cs="Times New Roman CYR"/>
          <w:sz w:val="26"/>
          <w:szCs w:val="26"/>
        </w:rPr>
        <w:t>подземная прокладка кабеля с медными жилами;</w:t>
      </w:r>
    </w:p>
    <w:p w:rsidR="009F4B0A" w:rsidRPr="002A79DE" w:rsidRDefault="009F4B0A" w:rsidP="002A79DE">
      <w:p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B4137">
        <w:rPr>
          <w:sz w:val="26"/>
          <w:szCs w:val="26"/>
        </w:rPr>
        <w:t xml:space="preserve">- </w:t>
      </w:r>
      <w:r w:rsidRPr="00DB4137">
        <w:rPr>
          <w:rFonts w:ascii="Times New Roman CYR" w:hAnsi="Times New Roman CYR" w:cs="Times New Roman CYR"/>
          <w:sz w:val="26"/>
          <w:szCs w:val="26"/>
        </w:rPr>
        <w:t>подземная прокладка кабеля с алюминиевыми жилами.</w:t>
      </w:r>
    </w:p>
    <w:p w:rsidR="009F4B0A" w:rsidRPr="002A79DE" w:rsidRDefault="002A79DE" w:rsidP="002A79DE">
      <w:p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A79DE">
        <w:rPr>
          <w:sz w:val="26"/>
          <w:szCs w:val="26"/>
        </w:rPr>
        <w:t>.</w:t>
      </w:r>
      <w:r w:rsidR="009F4B0A" w:rsidRPr="002A79DE">
        <w:rPr>
          <w:sz w:val="26"/>
          <w:szCs w:val="26"/>
        </w:rPr>
        <w:t>2.2.2.</w:t>
      </w:r>
      <w:r w:rsidR="009F4B0A" w:rsidRPr="002A79DE">
        <w:rPr>
          <w:sz w:val="26"/>
          <w:szCs w:val="26"/>
        </w:rPr>
        <w:tab/>
      </w:r>
      <w:r w:rsidR="009F4B0A" w:rsidRPr="002A79DE">
        <w:rPr>
          <w:rFonts w:ascii="Times New Roman CYR" w:hAnsi="Times New Roman CYR" w:cs="Times New Roman CYR"/>
          <w:sz w:val="26"/>
          <w:szCs w:val="26"/>
        </w:rPr>
        <w:t xml:space="preserve">Для воздушных, кабельных линий напряжением свыше 35 кВ, КТП, ПС в соответствии с индексом </w:t>
      </w:r>
      <w:r w:rsidR="009F4B0A" w:rsidRPr="002A79DE">
        <w:rPr>
          <w:sz w:val="26"/>
          <w:szCs w:val="26"/>
        </w:rPr>
        <w:t>«</w:t>
      </w:r>
      <w:r w:rsidR="009F4B0A" w:rsidRPr="002A79DE">
        <w:rPr>
          <w:rFonts w:ascii="Times New Roman CYR" w:hAnsi="Times New Roman CYR" w:cs="Times New Roman CYR"/>
          <w:sz w:val="26"/>
          <w:szCs w:val="26"/>
        </w:rPr>
        <w:t>Прочие объекты</w:t>
      </w:r>
      <w:r w:rsidR="009F4B0A" w:rsidRPr="002A79DE">
        <w:rPr>
          <w:sz w:val="26"/>
          <w:szCs w:val="26"/>
        </w:rPr>
        <w:t>».</w:t>
      </w:r>
    </w:p>
    <w:p w:rsidR="009F4B0A" w:rsidRPr="002A79DE" w:rsidRDefault="009F4B0A" w:rsidP="002A79DE">
      <w:pPr>
        <w:pStyle w:val="a8"/>
        <w:numPr>
          <w:ilvl w:val="1"/>
          <w:numId w:val="29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2A79DE">
        <w:rPr>
          <w:rFonts w:ascii="Times New Roman CYR" w:hAnsi="Times New Roman CYR" w:cs="Times New Roman CYR"/>
          <w:sz w:val="26"/>
          <w:szCs w:val="26"/>
        </w:rPr>
        <w:t xml:space="preserve">Для пересчета из базисного в текущий уровень цен и наоборот,  к стоимости оборудования, прочих затрат, проектных работ  применяются индексы по статьям </w:t>
      </w:r>
      <w:r w:rsidRPr="002A79DE">
        <w:rPr>
          <w:sz w:val="26"/>
          <w:szCs w:val="26"/>
        </w:rPr>
        <w:t>«</w:t>
      </w:r>
      <w:r w:rsidRPr="002A79DE">
        <w:rPr>
          <w:rFonts w:ascii="Times New Roman CYR" w:hAnsi="Times New Roman CYR" w:cs="Times New Roman CYR"/>
          <w:sz w:val="26"/>
          <w:szCs w:val="26"/>
        </w:rPr>
        <w:t>Оборудование</w:t>
      </w:r>
      <w:r w:rsidRPr="002A79DE">
        <w:rPr>
          <w:sz w:val="26"/>
          <w:szCs w:val="26"/>
        </w:rPr>
        <w:t>», «</w:t>
      </w:r>
      <w:r w:rsidRPr="002A79DE">
        <w:rPr>
          <w:rFonts w:ascii="Times New Roman CYR" w:hAnsi="Times New Roman CYR" w:cs="Times New Roman CYR"/>
          <w:sz w:val="26"/>
          <w:szCs w:val="26"/>
        </w:rPr>
        <w:t>Прочие</w:t>
      </w:r>
      <w:r w:rsidRPr="002A79DE">
        <w:rPr>
          <w:sz w:val="26"/>
          <w:szCs w:val="26"/>
        </w:rPr>
        <w:t>», «</w:t>
      </w:r>
      <w:r w:rsidRPr="002A79DE">
        <w:rPr>
          <w:rFonts w:ascii="Times New Roman CYR" w:hAnsi="Times New Roman CYR" w:cs="Times New Roman CYR"/>
          <w:sz w:val="26"/>
          <w:szCs w:val="26"/>
        </w:rPr>
        <w:t>Проектные работы</w:t>
      </w:r>
      <w:r w:rsidRPr="002A79DE">
        <w:rPr>
          <w:sz w:val="26"/>
          <w:szCs w:val="26"/>
        </w:rPr>
        <w:t xml:space="preserve">» </w:t>
      </w:r>
      <w:r w:rsidRPr="002A79DE">
        <w:rPr>
          <w:rFonts w:ascii="Times New Roman CYR" w:hAnsi="Times New Roman CYR" w:cs="Times New Roman CYR"/>
          <w:sz w:val="26"/>
          <w:szCs w:val="26"/>
        </w:rPr>
        <w:t xml:space="preserve">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9F4B0A" w:rsidRPr="002A79DE" w:rsidRDefault="009F4B0A" w:rsidP="002A79DE">
      <w:pPr>
        <w:pStyle w:val="a8"/>
        <w:numPr>
          <w:ilvl w:val="1"/>
          <w:numId w:val="29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2A79DE">
        <w:rPr>
          <w:rFonts w:ascii="Times New Roman CYR" w:hAnsi="Times New Roman CYR" w:cs="Times New Roman CYR"/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9F4B0A" w:rsidRPr="002A79DE" w:rsidRDefault="009F4B0A" w:rsidP="002A79DE">
      <w:pPr>
        <w:pStyle w:val="a8"/>
        <w:numPr>
          <w:ilvl w:val="1"/>
          <w:numId w:val="29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2A79DE">
        <w:rPr>
          <w:rFonts w:ascii="Times New Roman CYR" w:hAnsi="Times New Roman CYR" w:cs="Times New Roman CYR"/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9F4B0A" w:rsidRPr="00AB5FBC" w:rsidRDefault="009F4B0A" w:rsidP="002A79D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AB5FBC">
        <w:rPr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AB5FBC">
        <w:rPr>
          <w:sz w:val="26"/>
          <w:szCs w:val="26"/>
        </w:rPr>
        <w:t>Excel</w:t>
      </w:r>
      <w:proofErr w:type="spellEnd"/>
      <w:r w:rsidRPr="00AB5FBC">
        <w:rPr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AB5FBC">
        <w:rPr>
          <w:sz w:val="26"/>
          <w:szCs w:val="26"/>
        </w:rPr>
        <w:t>Excel</w:t>
      </w:r>
      <w:proofErr w:type="spellEnd"/>
      <w:r w:rsidRPr="00AB5FBC">
        <w:rPr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</w:p>
    <w:p w:rsidR="009F4B0A" w:rsidRPr="00AB5FBC" w:rsidRDefault="002A79DE" w:rsidP="00AB5FBC">
      <w:pPr>
        <w:pStyle w:val="a8"/>
        <w:widowControl w:val="0"/>
        <w:numPr>
          <w:ilvl w:val="1"/>
          <w:numId w:val="29"/>
        </w:numPr>
        <w:tabs>
          <w:tab w:val="left" w:pos="720"/>
          <w:tab w:val="left" w:pos="993"/>
          <w:tab w:val="num" w:pos="2340"/>
          <w:tab w:val="num" w:pos="3060"/>
          <w:tab w:val="num" w:pos="3240"/>
        </w:tabs>
        <w:ind w:left="0" w:firstLine="567"/>
        <w:jc w:val="both"/>
        <w:rPr>
          <w:rFonts w:ascii="Times New Roman" w:hAnsi="Times New Roman"/>
        </w:rPr>
      </w:pPr>
      <w:r w:rsidRPr="00AB5FBC">
        <w:rPr>
          <w:rFonts w:ascii="Times New Roman" w:hAnsi="Times New Roman"/>
          <w:b/>
          <w:sz w:val="26"/>
          <w:szCs w:val="26"/>
        </w:rPr>
        <w:t>Сметные расчеты выполнить с учетом требований «Протокола согласования нормативов для расчетов сметной документации» (</w:t>
      </w:r>
      <w:r w:rsidRPr="00AB5FBC">
        <w:rPr>
          <w:rFonts w:ascii="Times New Roman" w:hAnsi="Times New Roman"/>
          <w:b/>
          <w:i/>
          <w:sz w:val="26"/>
          <w:szCs w:val="26"/>
        </w:rPr>
        <w:t>Приложение к Техническому заданию</w:t>
      </w:r>
      <w:r w:rsidRPr="00AB5FBC">
        <w:rPr>
          <w:rFonts w:ascii="Times New Roman" w:hAnsi="Times New Roman"/>
          <w:b/>
          <w:sz w:val="26"/>
          <w:szCs w:val="26"/>
        </w:rPr>
        <w:t>).</w:t>
      </w:r>
      <w:r w:rsidRPr="00AB5FBC">
        <w:rPr>
          <w:rFonts w:ascii="Times New Roman" w:hAnsi="Times New Roman"/>
        </w:rPr>
        <w:tab/>
      </w:r>
    </w:p>
    <w:p w:rsidR="00AB5FBC" w:rsidRPr="00AB5FBC" w:rsidRDefault="00AB5FBC" w:rsidP="00AB5FBC">
      <w:pPr>
        <w:pStyle w:val="a8"/>
        <w:widowControl w:val="0"/>
        <w:spacing w:after="0"/>
        <w:ind w:left="0" w:firstLine="585"/>
        <w:rPr>
          <w:rFonts w:ascii="Times New Roman" w:hAnsi="Times New Roman"/>
          <w:b/>
          <w:sz w:val="26"/>
        </w:rPr>
      </w:pPr>
      <w:r w:rsidRPr="00AB5FBC">
        <w:rPr>
          <w:rFonts w:ascii="Times New Roman" w:hAnsi="Times New Roman"/>
          <w:b/>
          <w:sz w:val="26"/>
        </w:rPr>
        <w:t xml:space="preserve">6. Требования к </w:t>
      </w:r>
      <w:r w:rsidR="00016CB0">
        <w:rPr>
          <w:rFonts w:ascii="Times New Roman" w:hAnsi="Times New Roman"/>
          <w:b/>
          <w:sz w:val="26"/>
        </w:rPr>
        <w:t>Участнику закупки</w:t>
      </w:r>
      <w:r w:rsidRPr="00AB5FBC">
        <w:rPr>
          <w:rFonts w:ascii="Times New Roman" w:hAnsi="Times New Roman"/>
          <w:b/>
          <w:sz w:val="26"/>
        </w:rPr>
        <w:t>.</w:t>
      </w:r>
    </w:p>
    <w:p w:rsidR="00AB5FBC" w:rsidRPr="00AB5FBC" w:rsidRDefault="00AB5FBC" w:rsidP="00AB5FBC">
      <w:pPr>
        <w:pStyle w:val="31"/>
        <w:widowControl w:val="0"/>
        <w:tabs>
          <w:tab w:val="left" w:pos="993"/>
          <w:tab w:val="left" w:pos="1260"/>
        </w:tabs>
        <w:ind w:firstLine="585"/>
        <w:contextualSpacing/>
        <w:rPr>
          <w:sz w:val="26"/>
          <w:szCs w:val="26"/>
        </w:rPr>
      </w:pPr>
      <w:r w:rsidRPr="00AB5FBC">
        <w:rPr>
          <w:sz w:val="26"/>
        </w:rPr>
        <w:t xml:space="preserve">6.1. </w:t>
      </w:r>
      <w:proofErr w:type="gramStart"/>
      <w:r w:rsidR="00016CB0">
        <w:rPr>
          <w:sz w:val="26"/>
        </w:rPr>
        <w:t>Участник</w:t>
      </w:r>
      <w:r w:rsidRPr="00AB5FBC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</w:t>
      </w:r>
      <w:r w:rsidRPr="00AB5FBC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</w:t>
      </w:r>
      <w:proofErr w:type="gramEnd"/>
      <w:r w:rsidRPr="00AB5FBC">
        <w:rPr>
          <w:sz w:val="26"/>
          <w:szCs w:val="26"/>
        </w:rPr>
        <w:t xml:space="preserve"> выполнение видов деятельности), в том числе:</w:t>
      </w:r>
    </w:p>
    <w:p w:rsidR="00F16220" w:rsidRPr="00BD5199" w:rsidRDefault="00F16220" w:rsidP="00F16220">
      <w:pPr>
        <w:tabs>
          <w:tab w:val="left" w:pos="851"/>
        </w:tabs>
        <w:ind w:firstLine="567"/>
        <w:rPr>
          <w:i/>
          <w:sz w:val="26"/>
          <w:szCs w:val="26"/>
          <w:u w:val="single"/>
        </w:rPr>
      </w:pPr>
      <w:r w:rsidRPr="00BD5199">
        <w:rPr>
          <w:rStyle w:val="blk"/>
          <w:i/>
          <w:sz w:val="26"/>
          <w:szCs w:val="26"/>
          <w:u w:val="single"/>
        </w:rPr>
        <w:lastRenderedPageBreak/>
        <w:t>II. Виды работ по подготовке проектной документации</w:t>
      </w:r>
    </w:p>
    <w:p w:rsidR="00D92113" w:rsidRPr="00DB4137" w:rsidRDefault="00DB4137" w:rsidP="00F16220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DB4137">
        <w:rPr>
          <w:sz w:val="26"/>
          <w:szCs w:val="26"/>
          <w:shd w:val="clear" w:color="auto" w:fill="FFFFFF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F16220" w:rsidRPr="00165C4B" w:rsidRDefault="00F16220" w:rsidP="00F16220">
      <w:pPr>
        <w:tabs>
          <w:tab w:val="left" w:pos="851"/>
        </w:tabs>
        <w:ind w:firstLine="567"/>
        <w:jc w:val="both"/>
        <w:rPr>
          <w:vanish/>
          <w:sz w:val="26"/>
          <w:szCs w:val="26"/>
        </w:rPr>
      </w:pPr>
      <w:r w:rsidRPr="00165C4B">
        <w:rPr>
          <w:vanish/>
          <w:sz w:val="26"/>
          <w:szCs w:val="26"/>
        </w:rPr>
        <w:t> </w:t>
      </w:r>
    </w:p>
    <w:p w:rsidR="00F16220" w:rsidRDefault="00165C4B" w:rsidP="00F16220">
      <w:pPr>
        <w:tabs>
          <w:tab w:val="left" w:pos="851"/>
        </w:tabs>
        <w:ind w:firstLine="567"/>
        <w:jc w:val="both"/>
        <w:rPr>
          <w:sz w:val="26"/>
          <w:szCs w:val="26"/>
          <w:shd w:val="clear" w:color="auto" w:fill="FFFFFF"/>
        </w:rPr>
      </w:pPr>
      <w:r w:rsidRPr="00165C4B">
        <w:rPr>
          <w:sz w:val="26"/>
          <w:szCs w:val="26"/>
          <w:shd w:val="clear" w:color="auto" w:fill="FFFFFF"/>
        </w:rPr>
        <w:t>5.3. Работы по подготовке проектов наружных сетей электроснабжения до 35 кВ включительно и их сооружений</w:t>
      </w:r>
      <w:r>
        <w:rPr>
          <w:sz w:val="26"/>
          <w:szCs w:val="26"/>
          <w:shd w:val="clear" w:color="auto" w:fill="FFFFFF"/>
        </w:rPr>
        <w:t>.</w:t>
      </w:r>
    </w:p>
    <w:p w:rsidR="00772B2E" w:rsidRPr="00772B2E" w:rsidRDefault="00772B2E" w:rsidP="00016CB0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772B2E">
        <w:rPr>
          <w:sz w:val="26"/>
          <w:szCs w:val="26"/>
          <w:shd w:val="clear" w:color="auto" w:fill="FFFFFF"/>
        </w:rPr>
        <w:t xml:space="preserve">Для подтверждения наличия СРО необходимо предоставить его копию с приложениями. </w:t>
      </w:r>
    </w:p>
    <w:p w:rsidR="002A79DE" w:rsidRPr="00286715" w:rsidRDefault="00286715" w:rsidP="00286715">
      <w:pPr>
        <w:widowControl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7. </w:t>
      </w:r>
      <w:r w:rsidR="002A79DE" w:rsidRPr="00286715">
        <w:rPr>
          <w:b/>
          <w:sz w:val="26"/>
          <w:szCs w:val="26"/>
        </w:rPr>
        <w:t>Прочие условия:</w:t>
      </w:r>
    </w:p>
    <w:p w:rsidR="00286715" w:rsidRPr="00286715" w:rsidRDefault="00286715" w:rsidP="00286715">
      <w:pPr>
        <w:pStyle w:val="a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6715">
        <w:rPr>
          <w:rFonts w:ascii="Times New Roman" w:hAnsi="Times New Roman" w:cs="Times New Roman"/>
          <w:sz w:val="26"/>
          <w:szCs w:val="26"/>
        </w:rPr>
        <w:t xml:space="preserve">7.1. В случае </w:t>
      </w:r>
      <w:r w:rsidR="00E32C2A">
        <w:rPr>
          <w:rFonts w:ascii="Times New Roman" w:hAnsi="Times New Roman" w:cs="Times New Roman"/>
          <w:sz w:val="26"/>
          <w:szCs w:val="26"/>
        </w:rPr>
        <w:t>необходимости</w:t>
      </w:r>
      <w:r w:rsidRPr="00286715">
        <w:rPr>
          <w:rFonts w:ascii="Times New Roman" w:hAnsi="Times New Roman" w:cs="Times New Roman"/>
          <w:sz w:val="26"/>
          <w:szCs w:val="26"/>
        </w:rPr>
        <w:t xml:space="preserve"> расширения границ земельного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ПС 35 кВ «МПС»</w:t>
      </w:r>
      <w:r w:rsidR="00E32C2A">
        <w:rPr>
          <w:rFonts w:ascii="Times New Roman" w:hAnsi="Times New Roman" w:cs="Times New Roman"/>
          <w:sz w:val="26"/>
          <w:szCs w:val="26"/>
        </w:rPr>
        <w:t xml:space="preserve"> выполнить и </w:t>
      </w:r>
      <w:r w:rsidRPr="00286715">
        <w:rPr>
          <w:rFonts w:ascii="Times New Roman" w:hAnsi="Times New Roman" w:cs="Times New Roman"/>
          <w:sz w:val="26"/>
          <w:szCs w:val="26"/>
        </w:rPr>
        <w:t>предоставить</w:t>
      </w:r>
      <w:r w:rsidR="00E32C2A">
        <w:rPr>
          <w:rFonts w:ascii="Times New Roman" w:hAnsi="Times New Roman" w:cs="Times New Roman"/>
          <w:sz w:val="26"/>
          <w:szCs w:val="26"/>
        </w:rPr>
        <w:t xml:space="preserve"> Заказчику</w:t>
      </w:r>
      <w:r w:rsidRPr="00286715">
        <w:rPr>
          <w:rFonts w:ascii="Times New Roman" w:hAnsi="Times New Roman" w:cs="Times New Roman"/>
          <w:sz w:val="26"/>
          <w:szCs w:val="26"/>
        </w:rPr>
        <w:t>:</w:t>
      </w:r>
    </w:p>
    <w:p w:rsidR="00286715" w:rsidRDefault="00286715" w:rsidP="00286715">
      <w:pPr>
        <w:pStyle w:val="a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</w:t>
      </w:r>
      <w:r w:rsidRPr="00286715">
        <w:rPr>
          <w:rFonts w:ascii="Times New Roman" w:hAnsi="Times New Roman" w:cs="Times New Roman"/>
          <w:sz w:val="26"/>
          <w:szCs w:val="26"/>
        </w:rPr>
        <w:t>1. Разрешение на использование земель или земельного участка, находящихся в государственной или муниципальной собственности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86715" w:rsidRDefault="00286715" w:rsidP="00286715">
      <w:pPr>
        <w:pStyle w:val="a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</w:t>
      </w:r>
      <w:r w:rsidRPr="00286715">
        <w:rPr>
          <w:rFonts w:ascii="Times New Roman" w:hAnsi="Times New Roman" w:cs="Times New Roman"/>
          <w:sz w:val="26"/>
          <w:szCs w:val="26"/>
        </w:rPr>
        <w:t>2. Схему границ, предполагаемых к использованию земель или части земельного участка на КПТ (кадастровый план территории)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86715" w:rsidRPr="00286715" w:rsidRDefault="00286715" w:rsidP="00286715">
      <w:pPr>
        <w:pStyle w:val="ae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</w:t>
      </w:r>
      <w:r w:rsidRPr="0028671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86715">
        <w:rPr>
          <w:rFonts w:ascii="Times New Roman" w:hAnsi="Times New Roman" w:cs="Times New Roman"/>
          <w:sz w:val="26"/>
          <w:szCs w:val="26"/>
        </w:rPr>
        <w:t xml:space="preserve"> </w:t>
      </w:r>
      <w:r w:rsidR="00E32C2A">
        <w:rPr>
          <w:rFonts w:ascii="Times New Roman" w:hAnsi="Times New Roman" w:cs="Times New Roman"/>
          <w:sz w:val="26"/>
          <w:szCs w:val="26"/>
        </w:rPr>
        <w:t xml:space="preserve">Выполнить </w:t>
      </w:r>
      <w:r w:rsidRPr="00286715">
        <w:rPr>
          <w:rFonts w:ascii="Times New Roman" w:hAnsi="Times New Roman" w:cs="Times New Roman"/>
          <w:sz w:val="26"/>
          <w:szCs w:val="26"/>
        </w:rPr>
        <w:t>инженерно-геодезическую съемку в двух экземплярах.</w:t>
      </w:r>
    </w:p>
    <w:p w:rsidR="002A79DE" w:rsidRPr="00CB73BE" w:rsidRDefault="00AB5FBC" w:rsidP="00286715">
      <w:pPr>
        <w:pStyle w:val="31"/>
        <w:widowControl w:val="0"/>
        <w:tabs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286715">
        <w:rPr>
          <w:sz w:val="26"/>
          <w:szCs w:val="26"/>
        </w:rPr>
        <w:t>7</w:t>
      </w:r>
      <w:r w:rsidR="002A79DE" w:rsidRPr="00286715">
        <w:rPr>
          <w:sz w:val="26"/>
          <w:szCs w:val="26"/>
        </w:rPr>
        <w:t>.</w:t>
      </w:r>
      <w:r w:rsidR="00286715">
        <w:rPr>
          <w:sz w:val="26"/>
          <w:szCs w:val="26"/>
        </w:rPr>
        <w:t>2</w:t>
      </w:r>
      <w:r w:rsidR="002A79DE" w:rsidRPr="00286715">
        <w:rPr>
          <w:sz w:val="26"/>
          <w:szCs w:val="26"/>
        </w:rPr>
        <w:t>. В проекте организации строительства разработать технические решения, последовательность и технологии работ, связанных с обеспечением</w:t>
      </w:r>
      <w:r w:rsidR="002A79DE" w:rsidRPr="00CB73BE">
        <w:rPr>
          <w:sz w:val="26"/>
          <w:szCs w:val="26"/>
        </w:rPr>
        <w:t xml:space="preserve"> бесперебойного снабжения потребителей электроэнергией на время реконструкции объекта.</w:t>
      </w:r>
    </w:p>
    <w:p w:rsidR="00AB5FBC" w:rsidRDefault="00AB5FBC" w:rsidP="002A79DE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2A79DE" w:rsidRPr="00CB73BE">
        <w:rPr>
          <w:sz w:val="26"/>
          <w:szCs w:val="26"/>
        </w:rPr>
        <w:t>.</w:t>
      </w:r>
      <w:r w:rsidR="00DB4137">
        <w:rPr>
          <w:sz w:val="26"/>
          <w:szCs w:val="26"/>
        </w:rPr>
        <w:t>3</w:t>
      </w:r>
      <w:r w:rsidR="002A79DE" w:rsidRPr="00CB73BE">
        <w:rPr>
          <w:sz w:val="26"/>
          <w:szCs w:val="26"/>
        </w:rPr>
        <w:t xml:space="preserve">. Противопожарные мероприятия выполнить в соответствии с действующими правилами пожарной безопасности для энергетических объектов.        </w:t>
      </w:r>
    </w:p>
    <w:p w:rsidR="009F4B0A" w:rsidRPr="00CB73BE" w:rsidRDefault="00AB5FBC" w:rsidP="00772B2E">
      <w:pPr>
        <w:pStyle w:val="Con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A79DE">
        <w:rPr>
          <w:rFonts w:ascii="Times New Roman" w:hAnsi="Times New Roman" w:cs="Times New Roman"/>
          <w:sz w:val="26"/>
          <w:szCs w:val="26"/>
        </w:rPr>
        <w:t>.</w:t>
      </w:r>
      <w:r w:rsidR="00DB4137">
        <w:rPr>
          <w:rFonts w:ascii="Times New Roman" w:hAnsi="Times New Roman" w:cs="Times New Roman"/>
          <w:sz w:val="26"/>
          <w:szCs w:val="26"/>
        </w:rPr>
        <w:t>4</w:t>
      </w:r>
      <w:r w:rsidR="009F4B0A" w:rsidRPr="00CB73BE">
        <w:rPr>
          <w:rFonts w:ascii="Times New Roman" w:hAnsi="Times New Roman" w:cs="Times New Roman"/>
          <w:sz w:val="26"/>
          <w:szCs w:val="26"/>
        </w:rPr>
        <w:t>. Использование форматов при передаче документации в электронном виде: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9F4B0A" w:rsidRPr="00CB73BE" w:rsidTr="00F5335B">
        <w:trPr>
          <w:trHeight w:val="522"/>
        </w:trPr>
        <w:tc>
          <w:tcPr>
            <w:tcW w:w="3190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b/>
                <w:sz w:val="26"/>
                <w:szCs w:val="26"/>
              </w:rPr>
            </w:pPr>
            <w:r w:rsidRPr="00CB73BE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b/>
                <w:sz w:val="26"/>
                <w:szCs w:val="26"/>
              </w:rPr>
            </w:pPr>
            <w:r w:rsidRPr="00CB73BE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b/>
                <w:sz w:val="26"/>
                <w:szCs w:val="26"/>
              </w:rPr>
            </w:pPr>
            <w:r w:rsidRPr="00CB73BE">
              <w:rPr>
                <w:b/>
                <w:sz w:val="26"/>
                <w:szCs w:val="26"/>
              </w:rPr>
              <w:t>Формат</w:t>
            </w:r>
          </w:p>
        </w:tc>
      </w:tr>
      <w:tr w:rsidR="009F4B0A" w:rsidRPr="00CB73BE" w:rsidTr="00F5335B">
        <w:tc>
          <w:tcPr>
            <w:tcW w:w="3190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t>Текстовая часть, описания</w:t>
            </w:r>
          </w:p>
        </w:tc>
        <w:tc>
          <w:tcPr>
            <w:tcW w:w="3757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 xml:space="preserve">MS Word   </w:t>
            </w:r>
            <w:r w:rsidRPr="00CB73BE">
              <w:t>и</w:t>
            </w:r>
          </w:p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.doc</w:t>
            </w:r>
          </w:p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.pdf</w:t>
            </w:r>
          </w:p>
        </w:tc>
      </w:tr>
      <w:tr w:rsidR="009F4B0A" w:rsidRPr="00CB73BE" w:rsidTr="00F5335B">
        <w:tc>
          <w:tcPr>
            <w:tcW w:w="3190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t>Таблицы</w:t>
            </w:r>
          </w:p>
        </w:tc>
        <w:tc>
          <w:tcPr>
            <w:tcW w:w="3757" w:type="dxa"/>
          </w:tcPr>
          <w:p w:rsidR="009F4B0A" w:rsidRPr="009F4B0A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MS Excel</w:t>
            </w:r>
            <w:r w:rsidRPr="009F4B0A">
              <w:rPr>
                <w:lang w:val="en-US"/>
              </w:rPr>
              <w:t xml:space="preserve">    </w:t>
            </w:r>
            <w:r w:rsidRPr="00CB73BE">
              <w:t>и</w:t>
            </w:r>
          </w:p>
          <w:p w:rsidR="009F4B0A" w:rsidRPr="009F4B0A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.</w:t>
            </w:r>
            <w:proofErr w:type="spellStart"/>
            <w:r w:rsidRPr="00CB73BE">
              <w:rPr>
                <w:lang w:val="en-US"/>
              </w:rPr>
              <w:t>xls</w:t>
            </w:r>
            <w:proofErr w:type="spellEnd"/>
          </w:p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rPr>
                <w:lang w:val="en-US"/>
              </w:rPr>
              <w:t>.pdf</w:t>
            </w:r>
          </w:p>
        </w:tc>
      </w:tr>
      <w:tr w:rsidR="009F4B0A" w:rsidRPr="00CB73BE" w:rsidTr="00F5335B">
        <w:tc>
          <w:tcPr>
            <w:tcW w:w="3190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t>Базы данных</w:t>
            </w:r>
          </w:p>
        </w:tc>
        <w:tc>
          <w:tcPr>
            <w:tcW w:w="3757" w:type="dxa"/>
          </w:tcPr>
          <w:p w:rsidR="009F4B0A" w:rsidRPr="009F4B0A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MS Excel</w:t>
            </w:r>
            <w:r w:rsidRPr="009F4B0A">
              <w:rPr>
                <w:lang w:val="en-US"/>
              </w:rPr>
              <w:t xml:space="preserve">   </w:t>
            </w:r>
            <w:r w:rsidRPr="00CB73BE">
              <w:t>и</w:t>
            </w:r>
          </w:p>
          <w:p w:rsidR="009F4B0A" w:rsidRPr="009F4B0A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.</w:t>
            </w:r>
            <w:proofErr w:type="spellStart"/>
            <w:r w:rsidRPr="00CB73BE">
              <w:rPr>
                <w:lang w:val="en-US"/>
              </w:rPr>
              <w:t>xls</w:t>
            </w:r>
            <w:proofErr w:type="spellEnd"/>
          </w:p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rPr>
                <w:lang w:val="en-US"/>
              </w:rPr>
              <w:t>.pdf</w:t>
            </w:r>
          </w:p>
        </w:tc>
      </w:tr>
      <w:tr w:rsidR="009F4B0A" w:rsidRPr="00CB73BE" w:rsidTr="00F5335B">
        <w:tc>
          <w:tcPr>
            <w:tcW w:w="3190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t>Планы, графики</w:t>
            </w:r>
          </w:p>
        </w:tc>
        <w:tc>
          <w:tcPr>
            <w:tcW w:w="3757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 xml:space="preserve">MS Project    </w:t>
            </w:r>
            <w:r w:rsidRPr="00CB73BE">
              <w:t>и</w:t>
            </w:r>
          </w:p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MS Excel</w:t>
            </w:r>
          </w:p>
        </w:tc>
        <w:tc>
          <w:tcPr>
            <w:tcW w:w="2161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.</w:t>
            </w:r>
            <w:proofErr w:type="spellStart"/>
            <w:r w:rsidRPr="00CB73BE">
              <w:rPr>
                <w:lang w:val="en-US"/>
              </w:rPr>
              <w:t>mpp</w:t>
            </w:r>
            <w:proofErr w:type="spellEnd"/>
          </w:p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.</w:t>
            </w:r>
            <w:proofErr w:type="spellStart"/>
            <w:r w:rsidRPr="00CB73BE">
              <w:rPr>
                <w:lang w:val="en-US"/>
              </w:rPr>
              <w:t>xls</w:t>
            </w:r>
            <w:proofErr w:type="spellEnd"/>
          </w:p>
        </w:tc>
      </w:tr>
      <w:tr w:rsidR="009F4B0A" w:rsidRPr="00CB73BE" w:rsidTr="00F5335B">
        <w:tc>
          <w:tcPr>
            <w:tcW w:w="3190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t>Чертежи</w:t>
            </w:r>
          </w:p>
        </w:tc>
        <w:tc>
          <w:tcPr>
            <w:tcW w:w="3757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rPr>
                <w:lang w:val="en-US"/>
              </w:rPr>
              <w:t>AutoCAD</w:t>
            </w:r>
            <w:r w:rsidRPr="00CB73BE">
              <w:t xml:space="preserve">    и</w:t>
            </w:r>
          </w:p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.</w:t>
            </w:r>
            <w:proofErr w:type="spellStart"/>
            <w:r w:rsidRPr="00CB73BE">
              <w:rPr>
                <w:lang w:val="en-US"/>
              </w:rPr>
              <w:t>dwg</w:t>
            </w:r>
            <w:proofErr w:type="spellEnd"/>
          </w:p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rPr>
                <w:lang w:val="en-US"/>
              </w:rPr>
              <w:t>.pdf</w:t>
            </w:r>
          </w:p>
        </w:tc>
      </w:tr>
      <w:tr w:rsidR="009F4B0A" w:rsidRPr="00CB73BE" w:rsidTr="00F5335B">
        <w:tc>
          <w:tcPr>
            <w:tcW w:w="3190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t>Графический материал</w:t>
            </w:r>
          </w:p>
        </w:tc>
        <w:tc>
          <w:tcPr>
            <w:tcW w:w="3757" w:type="dxa"/>
          </w:tcPr>
          <w:p w:rsidR="009F4B0A" w:rsidRPr="009F4B0A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MS Photo Editor</w:t>
            </w:r>
            <w:r w:rsidRPr="009F4B0A">
              <w:rPr>
                <w:lang w:val="en-US"/>
              </w:rPr>
              <w:t xml:space="preserve">    </w:t>
            </w:r>
            <w:r w:rsidRPr="00CB73BE">
              <w:t>и</w:t>
            </w:r>
          </w:p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.jpg</w:t>
            </w:r>
          </w:p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rPr>
                <w:lang w:val="en-US"/>
              </w:rPr>
              <w:t>.pdf</w:t>
            </w:r>
          </w:p>
        </w:tc>
      </w:tr>
      <w:tr w:rsidR="009F4B0A" w:rsidRPr="00CB73BE" w:rsidTr="00F5335B">
        <w:tc>
          <w:tcPr>
            <w:tcW w:w="3190" w:type="dxa"/>
          </w:tcPr>
          <w:p w:rsidR="009F4B0A" w:rsidRPr="002938D6" w:rsidRDefault="009F4B0A" w:rsidP="00F5335B">
            <w:pPr>
              <w:widowControl w:val="0"/>
              <w:spacing w:before="0"/>
              <w:contextualSpacing/>
              <w:rPr>
                <w:szCs w:val="22"/>
              </w:rPr>
            </w:pPr>
            <w:r w:rsidRPr="002938D6">
              <w:rPr>
                <w:szCs w:val="22"/>
              </w:rPr>
              <w:t>Электронный архив</w:t>
            </w:r>
          </w:p>
        </w:tc>
        <w:tc>
          <w:tcPr>
            <w:tcW w:w="3757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proofErr w:type="spellStart"/>
            <w:r w:rsidRPr="00CB73BE">
              <w:rPr>
                <w:lang w:val="en-US"/>
              </w:rPr>
              <w:t>WinRar</w:t>
            </w:r>
            <w:proofErr w:type="spellEnd"/>
          </w:p>
        </w:tc>
        <w:tc>
          <w:tcPr>
            <w:tcW w:w="2161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</w:pPr>
            <w:r w:rsidRPr="00CB73BE">
              <w:rPr>
                <w:lang w:val="en-US"/>
              </w:rPr>
              <w:t>.</w:t>
            </w:r>
            <w:proofErr w:type="spellStart"/>
            <w:r w:rsidRPr="00CB73BE">
              <w:rPr>
                <w:lang w:val="en-US"/>
              </w:rPr>
              <w:t>rar</w:t>
            </w:r>
            <w:proofErr w:type="spellEnd"/>
            <w:r w:rsidRPr="00CB73BE">
              <w:t xml:space="preserve"> </w:t>
            </w:r>
            <w:r w:rsidRPr="00CB73BE">
              <w:rPr>
                <w:sz w:val="26"/>
                <w:szCs w:val="26"/>
              </w:rPr>
              <w:t>*</w:t>
            </w:r>
          </w:p>
        </w:tc>
      </w:tr>
      <w:tr w:rsidR="009F4B0A" w:rsidRPr="00CB73BE" w:rsidTr="00F5335B">
        <w:tc>
          <w:tcPr>
            <w:tcW w:w="3190" w:type="dxa"/>
          </w:tcPr>
          <w:p w:rsidR="009F4B0A" w:rsidRPr="002938D6" w:rsidRDefault="009F4B0A" w:rsidP="00F5335B">
            <w:pPr>
              <w:widowControl w:val="0"/>
              <w:spacing w:before="0"/>
              <w:contextualSpacing/>
              <w:rPr>
                <w:szCs w:val="22"/>
              </w:rPr>
            </w:pPr>
            <w:r w:rsidRPr="002938D6">
              <w:rPr>
                <w:szCs w:val="22"/>
              </w:rPr>
              <w:t>Сметная документация</w:t>
            </w:r>
          </w:p>
        </w:tc>
        <w:tc>
          <w:tcPr>
            <w:tcW w:w="3757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CB73BE">
              <w:rPr>
                <w:lang w:val="en-US"/>
              </w:rPr>
              <w:t>MS</w:t>
            </w:r>
            <w:r w:rsidRPr="00CB73BE">
              <w:t xml:space="preserve"> </w:t>
            </w:r>
            <w:r w:rsidRPr="00CB73BE">
              <w:rPr>
                <w:lang w:val="en-US"/>
              </w:rPr>
              <w:t>Excel</w:t>
            </w:r>
            <w:r w:rsidRPr="00CB73BE"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rPr>
                <w:lang w:val="en-US"/>
              </w:rPr>
              <w:t>.</w:t>
            </w:r>
            <w:proofErr w:type="spellStart"/>
            <w:r w:rsidRPr="00CB73BE">
              <w:rPr>
                <w:lang w:val="en-US"/>
              </w:rPr>
              <w:t>xls</w:t>
            </w:r>
            <w:proofErr w:type="spellEnd"/>
          </w:p>
          <w:p w:rsidR="009F4B0A" w:rsidRPr="00CB73BE" w:rsidRDefault="009F4B0A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 w:rsidRPr="00CB73BE">
              <w:t>.</w:t>
            </w:r>
            <w:proofErr w:type="spellStart"/>
            <w:r w:rsidRPr="00CB73BE">
              <w:rPr>
                <w:lang w:val="en-US"/>
              </w:rPr>
              <w:t>gsf</w:t>
            </w:r>
            <w:proofErr w:type="spellEnd"/>
          </w:p>
        </w:tc>
      </w:tr>
      <w:tr w:rsidR="002938D6" w:rsidRPr="00CB73BE" w:rsidTr="00F5335B">
        <w:tc>
          <w:tcPr>
            <w:tcW w:w="3190" w:type="dxa"/>
          </w:tcPr>
          <w:p w:rsidR="002938D6" w:rsidRPr="002938D6" w:rsidRDefault="002938D6" w:rsidP="00F5335B">
            <w:pPr>
              <w:widowControl w:val="0"/>
              <w:spacing w:before="0"/>
              <w:contextualSpacing/>
              <w:rPr>
                <w:szCs w:val="22"/>
              </w:rPr>
            </w:pPr>
            <w:r w:rsidRPr="002938D6">
              <w:rPr>
                <w:szCs w:val="22"/>
              </w:rPr>
              <w:t>Принципиальные схемы РЗА</w:t>
            </w:r>
          </w:p>
        </w:tc>
        <w:tc>
          <w:tcPr>
            <w:tcW w:w="3757" w:type="dxa"/>
          </w:tcPr>
          <w:p w:rsidR="002938D6" w:rsidRPr="002938D6" w:rsidRDefault="002938D6" w:rsidP="00F5335B">
            <w:pPr>
              <w:widowControl w:val="0"/>
              <w:spacing w:before="0"/>
              <w:contextualSpacing/>
            </w:pPr>
            <w:r>
              <w:rPr>
                <w:lang w:val="en-US"/>
              </w:rPr>
              <w:t>MS Visio</w:t>
            </w:r>
          </w:p>
        </w:tc>
        <w:tc>
          <w:tcPr>
            <w:tcW w:w="2161" w:type="dxa"/>
          </w:tcPr>
          <w:p w:rsidR="002938D6" w:rsidRPr="00CB73BE" w:rsidRDefault="002938D6" w:rsidP="00F5335B">
            <w:pPr>
              <w:widowControl w:val="0"/>
              <w:spacing w:before="0"/>
              <w:contextualSpacing/>
              <w:rPr>
                <w:lang w:val="en-US"/>
              </w:rPr>
            </w:pPr>
            <w:r>
              <w:rPr>
                <w:lang w:val="en-US"/>
              </w:rPr>
              <w:t>.</w:t>
            </w:r>
            <w:proofErr w:type="spellStart"/>
            <w:r>
              <w:rPr>
                <w:lang w:val="en-US"/>
              </w:rPr>
              <w:t>vsd</w:t>
            </w:r>
            <w:proofErr w:type="spellEnd"/>
          </w:p>
        </w:tc>
      </w:tr>
    </w:tbl>
    <w:p w:rsidR="009F4B0A" w:rsidRPr="00CB73BE" w:rsidRDefault="009F4B0A" w:rsidP="009F4B0A">
      <w:pPr>
        <w:pStyle w:val="ConsNormal"/>
        <w:ind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B73BE">
        <w:rPr>
          <w:rFonts w:ascii="Times New Roman" w:hAnsi="Times New Roman" w:cs="Times New Roman"/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9F4B0A" w:rsidRPr="00CB73BE" w:rsidRDefault="00AB5FBC" w:rsidP="00AB5FBC">
      <w:pPr>
        <w:pStyle w:val="ConsNormal"/>
        <w:tabs>
          <w:tab w:val="left" w:pos="1134"/>
        </w:tabs>
        <w:spacing w:line="262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9F4B0A" w:rsidRPr="00CB73BE">
        <w:rPr>
          <w:rFonts w:ascii="Times New Roman" w:hAnsi="Times New Roman" w:cs="Times New Roman"/>
          <w:sz w:val="26"/>
          <w:szCs w:val="26"/>
        </w:rPr>
        <w:t>.</w:t>
      </w:r>
      <w:r w:rsidR="00DB4137">
        <w:rPr>
          <w:rFonts w:ascii="Times New Roman" w:hAnsi="Times New Roman" w:cs="Times New Roman"/>
          <w:sz w:val="26"/>
          <w:szCs w:val="26"/>
        </w:rPr>
        <w:t>5</w:t>
      </w:r>
      <w:r w:rsidR="009F4B0A" w:rsidRPr="00CB73BE">
        <w:rPr>
          <w:rFonts w:ascii="Times New Roman" w:hAnsi="Times New Roman" w:cs="Times New Roman"/>
          <w:sz w:val="26"/>
          <w:szCs w:val="26"/>
        </w:rPr>
        <w:t>.</w:t>
      </w:r>
      <w:r w:rsidR="009F4B0A" w:rsidRPr="00CB73BE">
        <w:rPr>
          <w:rFonts w:ascii="Times New Roman" w:hAnsi="Times New Roman" w:cs="Times New Roman"/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="009F4B0A" w:rsidRPr="00CB73BE">
        <w:rPr>
          <w:rFonts w:ascii="Times New Roman" w:hAnsi="Times New Roman" w:cs="Times New Roman"/>
          <w:sz w:val="26"/>
          <w:szCs w:val="26"/>
        </w:rPr>
        <w:t>Заказчика</w:t>
      </w:r>
      <w:proofErr w:type="gramEnd"/>
      <w:r w:rsidR="009F4B0A" w:rsidRPr="00CB73BE">
        <w:rPr>
          <w:rFonts w:ascii="Times New Roman" w:hAnsi="Times New Roman" w:cs="Times New Roman"/>
          <w:sz w:val="26"/>
          <w:szCs w:val="26"/>
        </w:rPr>
        <w:t xml:space="preserve"> и передача её третьим лицам без его согласия запрещается.</w:t>
      </w:r>
    </w:p>
    <w:p w:rsidR="009F4B0A" w:rsidRDefault="00AB5FBC" w:rsidP="002A79D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before="0" w:line="262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F4B0A" w:rsidRPr="00CB73BE">
        <w:rPr>
          <w:sz w:val="26"/>
          <w:szCs w:val="26"/>
        </w:rPr>
        <w:t>.</w:t>
      </w:r>
      <w:r w:rsidR="00DB4137">
        <w:rPr>
          <w:sz w:val="26"/>
          <w:szCs w:val="26"/>
        </w:rPr>
        <w:t>6</w:t>
      </w:r>
      <w:r w:rsidR="00165C4B">
        <w:rPr>
          <w:sz w:val="26"/>
          <w:szCs w:val="26"/>
        </w:rPr>
        <w:t>.</w:t>
      </w:r>
      <w:r w:rsidR="009F4B0A" w:rsidRPr="00CB73BE">
        <w:rPr>
          <w:sz w:val="26"/>
          <w:szCs w:val="26"/>
        </w:rPr>
        <w:t xml:space="preserve"> Проектная организация включает в стоимость проектных работ затраты, и осуществляет от лица Заказчика получение по проекту всех необходимых согласований и заключений.</w:t>
      </w:r>
    </w:p>
    <w:p w:rsidR="00DB4137" w:rsidRPr="00DB4137" w:rsidRDefault="00DB4137" w:rsidP="00DB4137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6"/>
          <w:szCs w:val="26"/>
        </w:rPr>
      </w:pPr>
      <w:r w:rsidRPr="00DB4137">
        <w:rPr>
          <w:sz w:val="26"/>
          <w:szCs w:val="26"/>
        </w:rPr>
        <w:t xml:space="preserve">7.7. При этапном выполнении проектно-сметной документации необходимо предоставлять Заказчику - </w:t>
      </w:r>
      <w:r w:rsidRPr="00DB4137">
        <w:rPr>
          <w:color w:val="000000"/>
          <w:sz w:val="26"/>
          <w:szCs w:val="26"/>
        </w:rPr>
        <w:t>1 экземпляр в электронном виде (</w:t>
      </w:r>
      <w:r w:rsidRPr="00DB4137">
        <w:rPr>
          <w:color w:val="000000"/>
          <w:sz w:val="26"/>
          <w:szCs w:val="26"/>
          <w:lang w:val="en-US"/>
        </w:rPr>
        <w:t>pdf</w:t>
      </w:r>
      <w:r w:rsidRPr="00DB4137">
        <w:rPr>
          <w:color w:val="000000"/>
          <w:sz w:val="26"/>
          <w:szCs w:val="26"/>
        </w:rPr>
        <w:t>) в филиал АО «ДРСК» - «Южно-Якутские ЭС» г. Алдан и 1 экземпляр в электронном виде (</w:t>
      </w:r>
      <w:r w:rsidRPr="00DB4137">
        <w:rPr>
          <w:color w:val="000000"/>
          <w:sz w:val="26"/>
          <w:szCs w:val="26"/>
          <w:lang w:val="en-US"/>
        </w:rPr>
        <w:t>pdf</w:t>
      </w:r>
      <w:r w:rsidRPr="00DB4137">
        <w:rPr>
          <w:color w:val="000000"/>
          <w:sz w:val="26"/>
          <w:szCs w:val="26"/>
        </w:rPr>
        <w:t xml:space="preserve">) в </w:t>
      </w:r>
      <w:r w:rsidRPr="00DB4137">
        <w:rPr>
          <w:color w:val="000000"/>
          <w:sz w:val="26"/>
          <w:szCs w:val="26"/>
        </w:rPr>
        <w:lastRenderedPageBreak/>
        <w:t>АО «ДРСК» г. Благовещенск, для рассмотрения и согласования с профильными структурными подразделениями АО «ДРСК».</w:t>
      </w:r>
    </w:p>
    <w:p w:rsidR="00DB4137" w:rsidRPr="00B92234" w:rsidRDefault="00DB4137" w:rsidP="00DB4137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before="0" w:line="262" w:lineRule="auto"/>
        <w:ind w:firstLine="567"/>
        <w:contextualSpacing/>
        <w:jc w:val="both"/>
        <w:rPr>
          <w:sz w:val="26"/>
          <w:szCs w:val="26"/>
        </w:rPr>
      </w:pPr>
      <w:r w:rsidRPr="00DB4137">
        <w:rPr>
          <w:sz w:val="26"/>
          <w:szCs w:val="26"/>
        </w:rPr>
        <w:t xml:space="preserve">7.8. После рассмотрения и согласования АО «ДРСК» всех этапов проектно-сметной документации предоставить 3 экземпляра на бумажном носителе и 1 экземпляр в электронном виде (на </w:t>
      </w:r>
      <w:r w:rsidRPr="00DB4137">
        <w:rPr>
          <w:sz w:val="26"/>
          <w:szCs w:val="26"/>
          <w:lang w:val="en-US"/>
        </w:rPr>
        <w:t>CD</w:t>
      </w:r>
      <w:r w:rsidRPr="00DB4137">
        <w:rPr>
          <w:sz w:val="26"/>
          <w:szCs w:val="26"/>
        </w:rPr>
        <w:t xml:space="preserve">)  в филиал АО «ДРСК» «Южно-Якутские ЭС» г. Алдан, 1 экземпляр в электронном виде (на </w:t>
      </w:r>
      <w:r w:rsidRPr="00DB4137">
        <w:rPr>
          <w:sz w:val="26"/>
          <w:szCs w:val="26"/>
          <w:lang w:val="en-US"/>
        </w:rPr>
        <w:t>CD</w:t>
      </w:r>
      <w:r w:rsidRPr="00DB4137">
        <w:rPr>
          <w:sz w:val="26"/>
          <w:szCs w:val="26"/>
        </w:rPr>
        <w:t>) в АО «ДРСК» г. Благовещенск.</w:t>
      </w:r>
    </w:p>
    <w:p w:rsidR="009F4B0A" w:rsidRPr="00CB73BE" w:rsidRDefault="00AB5FBC" w:rsidP="002A79DE">
      <w:pPr>
        <w:widowControl w:val="0"/>
        <w:shd w:val="clear" w:color="auto" w:fill="FFFFFF"/>
        <w:tabs>
          <w:tab w:val="left" w:pos="989"/>
        </w:tabs>
        <w:spacing w:before="0" w:line="262" w:lineRule="auto"/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9F4B0A" w:rsidRPr="00CB73BE">
        <w:rPr>
          <w:b/>
          <w:sz w:val="26"/>
          <w:szCs w:val="26"/>
        </w:rPr>
        <w:t>. Срок выполнения проектной и рабочей документации:</w:t>
      </w:r>
    </w:p>
    <w:p w:rsidR="009F4B0A" w:rsidRPr="00CB73BE" w:rsidRDefault="009F4B0A" w:rsidP="002A79DE">
      <w:pPr>
        <w:widowControl w:val="0"/>
        <w:shd w:val="clear" w:color="auto" w:fill="FFFFFF"/>
        <w:spacing w:before="0" w:line="262" w:lineRule="auto"/>
        <w:ind w:firstLine="567"/>
        <w:contextualSpacing/>
        <w:rPr>
          <w:color w:val="000000"/>
          <w:sz w:val="26"/>
          <w:szCs w:val="26"/>
        </w:rPr>
      </w:pPr>
      <w:r w:rsidRPr="00CB73BE">
        <w:rPr>
          <w:color w:val="000000"/>
          <w:sz w:val="26"/>
          <w:szCs w:val="26"/>
        </w:rPr>
        <w:t xml:space="preserve">Начало проектирования - с момента заключения договора. </w:t>
      </w:r>
    </w:p>
    <w:p w:rsidR="009F4B0A" w:rsidRPr="00CB73BE" w:rsidRDefault="009F4B0A" w:rsidP="002A79DE">
      <w:pPr>
        <w:widowControl w:val="0"/>
        <w:shd w:val="clear" w:color="auto" w:fill="FFFFFF"/>
        <w:spacing w:before="0" w:line="262" w:lineRule="auto"/>
        <w:ind w:firstLine="567"/>
        <w:contextualSpacing/>
        <w:rPr>
          <w:color w:val="000000"/>
          <w:sz w:val="26"/>
          <w:szCs w:val="26"/>
        </w:rPr>
      </w:pPr>
      <w:r w:rsidRPr="00CB73BE">
        <w:rPr>
          <w:color w:val="000000"/>
          <w:sz w:val="26"/>
          <w:szCs w:val="26"/>
        </w:rPr>
        <w:t xml:space="preserve">Окончание – </w:t>
      </w:r>
      <w:r w:rsidR="003E4B9B" w:rsidRPr="00AB5FBC">
        <w:rPr>
          <w:b/>
          <w:i/>
          <w:color w:val="000000"/>
          <w:sz w:val="26"/>
          <w:szCs w:val="26"/>
        </w:rPr>
        <w:t>не позднее 30.12.2017г.</w:t>
      </w:r>
    </w:p>
    <w:p w:rsidR="009F4B0A" w:rsidRPr="00CB73BE" w:rsidRDefault="009F4B0A" w:rsidP="009F4B0A">
      <w:pPr>
        <w:widowControl w:val="0"/>
        <w:shd w:val="clear" w:color="auto" w:fill="FFFFFF"/>
        <w:spacing w:before="0"/>
        <w:contextualSpacing/>
        <w:rPr>
          <w:b/>
          <w:i/>
          <w:iCs/>
          <w:sz w:val="26"/>
          <w:szCs w:val="26"/>
        </w:rPr>
      </w:pPr>
    </w:p>
    <w:p w:rsidR="00D92113" w:rsidRDefault="00D92113" w:rsidP="00DB4137">
      <w:pPr>
        <w:widowControl w:val="0"/>
        <w:shd w:val="clear" w:color="auto" w:fill="FFFFFF"/>
        <w:tabs>
          <w:tab w:val="left" w:pos="8275"/>
        </w:tabs>
        <w:spacing w:before="0"/>
        <w:ind w:left="6"/>
        <w:contextualSpacing/>
        <w:jc w:val="both"/>
        <w:rPr>
          <w:i/>
          <w:sz w:val="26"/>
          <w:szCs w:val="26"/>
        </w:rPr>
      </w:pPr>
      <w:r w:rsidRPr="00DB4137">
        <w:rPr>
          <w:i/>
          <w:iCs/>
          <w:sz w:val="26"/>
          <w:szCs w:val="26"/>
        </w:rPr>
        <w:t>Приложение:</w:t>
      </w:r>
      <w:r w:rsidR="00DB4137" w:rsidRPr="00DB4137">
        <w:rPr>
          <w:i/>
          <w:iCs/>
          <w:sz w:val="26"/>
          <w:szCs w:val="26"/>
        </w:rPr>
        <w:t xml:space="preserve"> 1. </w:t>
      </w:r>
      <w:r w:rsidR="00DB4137" w:rsidRPr="00DB4137">
        <w:rPr>
          <w:i/>
          <w:sz w:val="26"/>
          <w:szCs w:val="26"/>
        </w:rPr>
        <w:t>Технические требования на разработку проектной и рабочей документации на реконструкцию ПС 35/6 кВ МПС (замена КРУН 6 кВ), утвержденные 27.06.2016г.</w:t>
      </w:r>
    </w:p>
    <w:p w:rsidR="00DB4137" w:rsidRPr="00DB4137" w:rsidRDefault="00DB4137" w:rsidP="00DB4137">
      <w:pPr>
        <w:widowControl w:val="0"/>
        <w:shd w:val="clear" w:color="auto" w:fill="FFFFFF"/>
        <w:spacing w:line="262" w:lineRule="auto"/>
        <w:contextualSpacing/>
        <w:jc w:val="both"/>
        <w:rPr>
          <w:i/>
          <w:color w:val="000000"/>
          <w:sz w:val="26"/>
          <w:szCs w:val="26"/>
        </w:rPr>
      </w:pPr>
      <w:r w:rsidRPr="00DB4137">
        <w:rPr>
          <w:i/>
          <w:sz w:val="26"/>
          <w:szCs w:val="26"/>
        </w:rPr>
        <w:t xml:space="preserve">                         2. Протокол согласования нормативов для расчетов сметной документации.</w:t>
      </w:r>
    </w:p>
    <w:p w:rsidR="00DB4137" w:rsidRPr="00DB4137" w:rsidRDefault="00DB4137" w:rsidP="00DB4137">
      <w:pPr>
        <w:widowControl w:val="0"/>
        <w:shd w:val="clear" w:color="auto" w:fill="FFFFFF"/>
        <w:tabs>
          <w:tab w:val="left" w:pos="8275"/>
        </w:tabs>
        <w:spacing w:before="0"/>
        <w:ind w:left="6"/>
        <w:contextualSpacing/>
        <w:jc w:val="both"/>
        <w:rPr>
          <w:i/>
          <w:iCs/>
          <w:sz w:val="26"/>
          <w:szCs w:val="26"/>
          <w:highlight w:val="yellow"/>
        </w:rPr>
      </w:pPr>
      <w:bookmarkStart w:id="0" w:name="_GoBack"/>
      <w:bookmarkEnd w:id="0"/>
    </w:p>
    <w:sectPr w:rsidR="00DB4137" w:rsidRPr="00DB4137" w:rsidSect="009279D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04EE0B2"/>
    <w:lvl w:ilvl="0">
      <w:numFmt w:val="bullet"/>
      <w:lvlText w:val="*"/>
      <w:lvlJc w:val="left"/>
    </w:lvl>
  </w:abstractNum>
  <w:abstractNum w:abstractNumId="1">
    <w:nsid w:val="083D3D4B"/>
    <w:multiLevelType w:val="multilevel"/>
    <w:tmpl w:val="585E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4D13A5"/>
    <w:multiLevelType w:val="multilevel"/>
    <w:tmpl w:val="C0D64F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>
    <w:nsid w:val="13902645"/>
    <w:multiLevelType w:val="multilevel"/>
    <w:tmpl w:val="ED34624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E7C05"/>
    <w:multiLevelType w:val="multilevel"/>
    <w:tmpl w:val="276CAF56"/>
    <w:lvl w:ilvl="0">
      <w:start w:val="5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1" w:hanging="1800"/>
      </w:pPr>
      <w:rPr>
        <w:rFonts w:hint="default"/>
      </w:rPr>
    </w:lvl>
  </w:abstractNum>
  <w:abstractNum w:abstractNumId="7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A1509"/>
    <w:multiLevelType w:val="hybridMultilevel"/>
    <w:tmpl w:val="EE9A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935740"/>
    <w:multiLevelType w:val="multilevel"/>
    <w:tmpl w:val="D1C073E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6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500" w:hanging="720"/>
      </w:pPr>
      <w:rPr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</w:lvl>
    <w:lvl w:ilvl="3">
      <w:start w:val="1"/>
      <w:numFmt w:val="decimal"/>
      <w:lvlText w:val="%1.%2.%3.%4."/>
      <w:lvlJc w:val="left"/>
      <w:pPr>
        <w:ind w:left="3420" w:hanging="1080"/>
      </w:pPr>
    </w:lvl>
    <w:lvl w:ilvl="4">
      <w:start w:val="1"/>
      <w:numFmt w:val="decimal"/>
      <w:lvlText w:val="%1.%2.%3.%4.%5."/>
      <w:lvlJc w:val="left"/>
      <w:pPr>
        <w:ind w:left="4200" w:hanging="1080"/>
      </w:pPr>
    </w:lvl>
    <w:lvl w:ilvl="5">
      <w:start w:val="1"/>
      <w:numFmt w:val="decimal"/>
      <w:lvlText w:val="%1.%2.%3.%4.%5.%6."/>
      <w:lvlJc w:val="left"/>
      <w:pPr>
        <w:ind w:left="5340" w:hanging="1440"/>
      </w:pPr>
    </w:lvl>
    <w:lvl w:ilvl="6">
      <w:start w:val="1"/>
      <w:numFmt w:val="decimal"/>
      <w:lvlText w:val="%1.%2.%3.%4.%5.%6.%7."/>
      <w:lvlJc w:val="left"/>
      <w:pPr>
        <w:ind w:left="6120" w:hanging="1440"/>
      </w:pPr>
    </w:lvl>
    <w:lvl w:ilvl="7">
      <w:start w:val="1"/>
      <w:numFmt w:val="decimal"/>
      <w:lvlText w:val="%1.%2.%3.%4.%5.%6.%7.%8."/>
      <w:lvlJc w:val="left"/>
      <w:pPr>
        <w:ind w:left="7260" w:hanging="1800"/>
      </w:pPr>
    </w:lvl>
    <w:lvl w:ilvl="8">
      <w:start w:val="1"/>
      <w:numFmt w:val="decimal"/>
      <w:lvlText w:val="%1.%2.%3.%4.%5.%6.%7.%8.%9."/>
      <w:lvlJc w:val="left"/>
      <w:pPr>
        <w:ind w:left="8040" w:hanging="1800"/>
      </w:pPr>
    </w:lvl>
  </w:abstractNum>
  <w:abstractNum w:abstractNumId="20">
    <w:nsid w:val="643B6F13"/>
    <w:multiLevelType w:val="multilevel"/>
    <w:tmpl w:val="13FAE2E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21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6C1945CA"/>
    <w:multiLevelType w:val="multilevel"/>
    <w:tmpl w:val="2062A914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B20497"/>
    <w:multiLevelType w:val="multilevel"/>
    <w:tmpl w:val="701C75BE"/>
    <w:lvl w:ilvl="0">
      <w:start w:val="10"/>
      <w:numFmt w:val="decimal"/>
      <w:lvlText w:val="%1."/>
      <w:lvlJc w:val="left"/>
      <w:pPr>
        <w:ind w:left="525" w:hanging="525"/>
      </w:pPr>
      <w:rPr>
        <w:rFonts w:ascii="Times New Roman CYR" w:hAnsi="Times New Roman CYR" w:cs="Times New Roman CYR"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 CYR" w:hAnsi="Times New Roman CYR" w:cs="Times New Roman CYR"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 CYR" w:hAnsi="Times New Roman CYR" w:cs="Times New Roman CYR"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 CYR" w:hAnsi="Times New Roman CYR" w:cs="Times New Roman CYR"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 CYR" w:hAnsi="Times New Roman CYR" w:cs="Times New Roman CYR"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 CYR" w:hAnsi="Times New Roman CYR" w:cs="Times New Roman CYR"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 CYR" w:hAnsi="Times New Roman CYR" w:cs="Times New Roman CYR"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 CYR" w:hAnsi="Times New Roman CYR" w:cs="Times New Roman CYR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 CYR" w:hAnsi="Times New Roman CYR" w:cs="Times New Roman CYR" w:hint="default"/>
        <w:i w:val="0"/>
      </w:rPr>
    </w:lvl>
  </w:abstractNum>
  <w:abstractNum w:abstractNumId="26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7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7"/>
  </w:num>
  <w:num w:numId="4">
    <w:abstractNumId w:val="13"/>
  </w:num>
  <w:num w:numId="5">
    <w:abstractNumId w:val="8"/>
  </w:num>
  <w:num w:numId="6">
    <w:abstractNumId w:val="27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4"/>
  </w:num>
  <w:num w:numId="15">
    <w:abstractNumId w:val="6"/>
  </w:num>
  <w:num w:numId="16">
    <w:abstractNumId w:val="12"/>
  </w:num>
  <w:num w:numId="17">
    <w:abstractNumId w:val="4"/>
  </w:num>
  <w:num w:numId="18">
    <w:abstractNumId w:val="1"/>
  </w:num>
  <w:num w:numId="19">
    <w:abstractNumId w:val="21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25"/>
  </w:num>
  <w:num w:numId="22">
    <w:abstractNumId w:val="16"/>
  </w:num>
  <w:num w:numId="23">
    <w:abstractNumId w:val="15"/>
  </w:num>
  <w:num w:numId="24">
    <w:abstractNumId w:val="26"/>
  </w:num>
  <w:num w:numId="25">
    <w:abstractNumId w:val="23"/>
  </w:num>
  <w:num w:numId="26">
    <w:abstractNumId w:val="2"/>
  </w:num>
  <w:num w:numId="27">
    <w:abstractNumId w:val="22"/>
  </w:num>
  <w:num w:numId="28">
    <w:abstractNumId w:val="20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7E2"/>
    <w:rsid w:val="00016CB0"/>
    <w:rsid w:val="00040F16"/>
    <w:rsid w:val="00047B49"/>
    <w:rsid w:val="000D5C35"/>
    <w:rsid w:val="000E1382"/>
    <w:rsid w:val="000E7EF8"/>
    <w:rsid w:val="001010FE"/>
    <w:rsid w:val="00104F24"/>
    <w:rsid w:val="00165C4B"/>
    <w:rsid w:val="00196241"/>
    <w:rsid w:val="001F1574"/>
    <w:rsid w:val="00286715"/>
    <w:rsid w:val="002938D6"/>
    <w:rsid w:val="002A79DE"/>
    <w:rsid w:val="0031073D"/>
    <w:rsid w:val="0031303E"/>
    <w:rsid w:val="003558A5"/>
    <w:rsid w:val="003E2B7F"/>
    <w:rsid w:val="003E4B9B"/>
    <w:rsid w:val="004039FD"/>
    <w:rsid w:val="00481526"/>
    <w:rsid w:val="004842B3"/>
    <w:rsid w:val="004C3AD7"/>
    <w:rsid w:val="004C4818"/>
    <w:rsid w:val="004C4909"/>
    <w:rsid w:val="004C6B8F"/>
    <w:rsid w:val="004E03B8"/>
    <w:rsid w:val="0054394F"/>
    <w:rsid w:val="0076030A"/>
    <w:rsid w:val="00772B2E"/>
    <w:rsid w:val="00776E86"/>
    <w:rsid w:val="00777C11"/>
    <w:rsid w:val="00802CF2"/>
    <w:rsid w:val="009279DC"/>
    <w:rsid w:val="009403B6"/>
    <w:rsid w:val="009E51C2"/>
    <w:rsid w:val="009F4B0A"/>
    <w:rsid w:val="00AB0817"/>
    <w:rsid w:val="00AB5FBC"/>
    <w:rsid w:val="00AC710A"/>
    <w:rsid w:val="00B8284D"/>
    <w:rsid w:val="00B92234"/>
    <w:rsid w:val="00BC4CF1"/>
    <w:rsid w:val="00BC7F3B"/>
    <w:rsid w:val="00C06438"/>
    <w:rsid w:val="00CB67E2"/>
    <w:rsid w:val="00D51EC3"/>
    <w:rsid w:val="00D92113"/>
    <w:rsid w:val="00DA3D24"/>
    <w:rsid w:val="00DB1837"/>
    <w:rsid w:val="00DB4137"/>
    <w:rsid w:val="00DD123B"/>
    <w:rsid w:val="00DF608D"/>
    <w:rsid w:val="00E32C2A"/>
    <w:rsid w:val="00EC33ED"/>
    <w:rsid w:val="00F16220"/>
    <w:rsid w:val="00F22539"/>
    <w:rsid w:val="00F536A7"/>
    <w:rsid w:val="00F5582D"/>
    <w:rsid w:val="00F74367"/>
    <w:rsid w:val="00FD0860"/>
    <w:rsid w:val="00F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DC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279DC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unhideWhenUsed/>
    <w:qFormat/>
    <w:rsid w:val="004039FD"/>
    <w:pPr>
      <w:widowControl w:val="0"/>
      <w:snapToGrid w:val="0"/>
      <w:spacing w:before="0"/>
      <w:ind w:firstLine="709"/>
      <w:contextualSpacing/>
      <w:jc w:val="both"/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27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39FD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9279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nhideWhenUsed/>
    <w:rsid w:val="009279D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9279DC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9279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lock Text"/>
    <w:basedOn w:val="a"/>
    <w:semiHidden/>
    <w:unhideWhenUsed/>
    <w:rsid w:val="009279DC"/>
    <w:pPr>
      <w:spacing w:before="0"/>
      <w:ind w:left="709" w:right="741" w:hanging="139"/>
      <w:jc w:val="both"/>
    </w:pPr>
    <w:rPr>
      <w:sz w:val="24"/>
    </w:rPr>
  </w:style>
  <w:style w:type="paragraph" w:styleId="a8">
    <w:name w:val="List Paragraph"/>
    <w:basedOn w:val="a"/>
    <w:uiPriority w:val="34"/>
    <w:qFormat/>
    <w:rsid w:val="009279DC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9E51C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E03B8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03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rsid w:val="009F4B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F4B0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F4B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F16220"/>
  </w:style>
  <w:style w:type="paragraph" w:styleId="ae">
    <w:name w:val="Plain Text"/>
    <w:basedOn w:val="a"/>
    <w:link w:val="af"/>
    <w:uiPriority w:val="99"/>
    <w:semiHidden/>
    <w:unhideWhenUsed/>
    <w:rsid w:val="00286715"/>
    <w:pPr>
      <w:spacing w:before="0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86715"/>
    <w:rPr>
      <w:rFonts w:ascii="Calibri" w:hAnsi="Calibri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2938D6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938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2938D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DC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279DC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autoRedefine/>
    <w:unhideWhenUsed/>
    <w:qFormat/>
    <w:rsid w:val="004039FD"/>
    <w:pPr>
      <w:widowControl w:val="0"/>
      <w:snapToGrid w:val="0"/>
      <w:spacing w:before="0"/>
      <w:ind w:firstLine="709"/>
      <w:contextualSpacing/>
      <w:jc w:val="both"/>
      <w:outlineLvl w:val="2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27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39FD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9279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nhideWhenUsed/>
    <w:rsid w:val="009279D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279DC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9279DC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9279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lock Text"/>
    <w:basedOn w:val="a"/>
    <w:semiHidden/>
    <w:unhideWhenUsed/>
    <w:rsid w:val="009279DC"/>
    <w:pPr>
      <w:spacing w:before="0"/>
      <w:ind w:left="709" w:right="741" w:hanging="139"/>
      <w:jc w:val="both"/>
    </w:pPr>
    <w:rPr>
      <w:sz w:val="24"/>
    </w:rPr>
  </w:style>
  <w:style w:type="paragraph" w:styleId="a8">
    <w:name w:val="List Paragraph"/>
    <w:basedOn w:val="a"/>
    <w:uiPriority w:val="34"/>
    <w:qFormat/>
    <w:rsid w:val="009279DC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9E51C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E03B8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03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rsid w:val="009F4B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F4B0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9F4B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F16220"/>
  </w:style>
  <w:style w:type="paragraph" w:styleId="ae">
    <w:name w:val="Plain Text"/>
    <w:basedOn w:val="a"/>
    <w:link w:val="af"/>
    <w:uiPriority w:val="99"/>
    <w:semiHidden/>
    <w:unhideWhenUsed/>
    <w:rsid w:val="00286715"/>
    <w:pPr>
      <w:spacing w:before="0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86715"/>
    <w:rPr>
      <w:rFonts w:ascii="Calibri" w:hAnsi="Calibri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2938D6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938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2938D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sk.ru/norm/6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1994</Words>
  <Characters>11371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koryakin</dc:creator>
  <cp:lastModifiedBy>Коротаева Татьяна Витальевна</cp:lastModifiedBy>
  <cp:revision>8</cp:revision>
  <cp:lastPrinted>2016-10-11T00:16:00Z</cp:lastPrinted>
  <dcterms:created xsi:type="dcterms:W3CDTF">2016-09-13T01:28:00Z</dcterms:created>
  <dcterms:modified xsi:type="dcterms:W3CDTF">2016-11-21T04:23:00Z</dcterms:modified>
</cp:coreProperties>
</file>