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Поставщик должен предоставить Грузополучателю документы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w:t>
      </w:r>
      <w:proofErr w:type="gramStart"/>
      <w:r>
        <w:rPr>
          <w:sz w:val="22"/>
          <w:szCs w:val="22"/>
        </w:rPr>
        <w:t>по</w:t>
      </w:r>
      <w:proofErr w:type="gramEnd"/>
      <w:r>
        <w:rPr>
          <w:sz w:val="22"/>
          <w:szCs w:val="22"/>
        </w:rPr>
        <w:t xml:space="preserve">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855F62">
        <w:rPr>
          <w:b/>
          <w:i/>
          <w:color w:val="000000"/>
          <w:sz w:val="22"/>
          <w:szCs w:val="22"/>
        </w:rPr>
        <w:t>3</w:t>
      </w:r>
      <w:r w:rsidR="008E5C6B">
        <w:rPr>
          <w:b/>
          <w:i/>
          <w:color w:val="000000"/>
          <w:sz w:val="22"/>
          <w:szCs w:val="22"/>
        </w:rPr>
        <w:t xml:space="preserve">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2E26A2" w:rsidRDefault="000F0EC6" w:rsidP="00B523FF">
      <w:pPr>
        <w:widowControl w:val="0"/>
        <w:shd w:val="clear" w:color="auto" w:fill="FFFFFF"/>
        <w:tabs>
          <w:tab w:val="left" w:pos="953"/>
        </w:tabs>
        <w:autoSpaceDE w:val="0"/>
        <w:autoSpaceDN w:val="0"/>
        <w:adjustRightInd w:val="0"/>
        <w:ind w:firstLine="284"/>
        <w:jc w:val="both"/>
        <w:rPr>
          <w:sz w:val="22"/>
          <w:szCs w:val="22"/>
        </w:rPr>
      </w:pPr>
      <w:r>
        <w:rPr>
          <w:b/>
          <w:color w:val="000000"/>
          <w:sz w:val="22"/>
          <w:szCs w:val="22"/>
        </w:rPr>
        <w:t>4.3.</w:t>
      </w:r>
      <w:r w:rsidR="00B523FF" w:rsidRPr="00B523FF">
        <w:rPr>
          <w:sz w:val="22"/>
          <w:szCs w:val="22"/>
        </w:rPr>
        <w:t xml:space="preserve">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B523FF" w:rsidRPr="00B523FF">
        <w:rPr>
          <w:sz w:val="22"/>
          <w:szCs w:val="22"/>
        </w:rPr>
        <w:t>с даты получения</w:t>
      </w:r>
      <w:proofErr w:type="gramEnd"/>
      <w:r w:rsidR="00B523FF" w:rsidRPr="00B523FF">
        <w:rPr>
          <w:sz w:val="22"/>
          <w:szCs w:val="22"/>
        </w:rPr>
        <w:t xml:space="preserve"> соответствующего письменного требования Покупателя. </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0F0EC6">
        <w:rPr>
          <w:b/>
          <w:color w:val="000000"/>
          <w:sz w:val="22"/>
          <w:szCs w:val="22"/>
        </w:rPr>
        <w:t>4</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0F0EC6">
        <w:rPr>
          <w:b/>
          <w:color w:val="000000"/>
          <w:sz w:val="22"/>
          <w:szCs w:val="22"/>
        </w:rPr>
        <w:t>5</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0F0EC6">
      <w:pPr>
        <w:pStyle w:val="a8"/>
        <w:widowControl w:val="0"/>
        <w:numPr>
          <w:ilvl w:val="1"/>
          <w:numId w:val="25"/>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w:t>
      </w:r>
      <w:r w:rsidR="0099136C">
        <w:rPr>
          <w:color w:val="000000"/>
          <w:sz w:val="22"/>
          <w:szCs w:val="22"/>
        </w:rPr>
        <w:t>…...</w:t>
      </w:r>
      <w:bookmarkStart w:id="0" w:name="_GoBack"/>
      <w:bookmarkEnd w:id="0"/>
      <w:r w:rsidRPr="00FD7827">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lastRenderedPageBreak/>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lastRenderedPageBreak/>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860" w:rsidRDefault="00920860" w:rsidP="00070A4C">
      <w:r>
        <w:separator/>
      </w:r>
    </w:p>
  </w:endnote>
  <w:endnote w:type="continuationSeparator" w:id="0">
    <w:p w:rsidR="00920860" w:rsidRDefault="0092086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860" w:rsidRDefault="00920860" w:rsidP="00070A4C">
      <w:r>
        <w:separator/>
      </w:r>
    </w:p>
  </w:footnote>
  <w:footnote w:type="continuationSeparator" w:id="0">
    <w:p w:rsidR="00920860" w:rsidRDefault="0092086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1242361"/>
    <w:multiLevelType w:val="multilevel"/>
    <w:tmpl w:val="A440D7F4"/>
    <w:lvl w:ilvl="0">
      <w:start w:val="4"/>
      <w:numFmt w:val="decimal"/>
      <w:lvlText w:val="%1."/>
      <w:lvlJc w:val="left"/>
      <w:pPr>
        <w:ind w:left="360" w:hanging="360"/>
      </w:pPr>
      <w:rPr>
        <w:rFonts w:hint="default"/>
      </w:rPr>
    </w:lvl>
    <w:lvl w:ilvl="1">
      <w:start w:val="6"/>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928"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9"/>
  </w:num>
  <w:num w:numId="4">
    <w:abstractNumId w:val="3"/>
  </w:num>
  <w:num w:numId="5">
    <w:abstractNumId w:val="5"/>
  </w:num>
  <w:num w:numId="6">
    <w:abstractNumId w:val="19"/>
  </w:num>
  <w:num w:numId="7">
    <w:abstractNumId w:val="15"/>
  </w:num>
  <w:num w:numId="8">
    <w:abstractNumId w:val="12"/>
  </w:num>
  <w:num w:numId="9">
    <w:abstractNumId w:val="20"/>
  </w:num>
  <w:num w:numId="10">
    <w:abstractNumId w:val="6"/>
  </w:num>
  <w:num w:numId="11">
    <w:abstractNumId w:val="14"/>
  </w:num>
  <w:num w:numId="12">
    <w:abstractNumId w:val="2"/>
  </w:num>
  <w:num w:numId="13">
    <w:abstractNumId w:val="24"/>
  </w:num>
  <w:num w:numId="14">
    <w:abstractNumId w:val="22"/>
  </w:num>
  <w:num w:numId="15">
    <w:abstractNumId w:val="23"/>
  </w:num>
  <w:num w:numId="16">
    <w:abstractNumId w:val="11"/>
  </w:num>
  <w:num w:numId="17">
    <w:abstractNumId w:val="21"/>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060A"/>
    <w:rsid w:val="00043AA4"/>
    <w:rsid w:val="00044AF6"/>
    <w:rsid w:val="000626EF"/>
    <w:rsid w:val="00064120"/>
    <w:rsid w:val="00066C97"/>
    <w:rsid w:val="00070A4C"/>
    <w:rsid w:val="00073A62"/>
    <w:rsid w:val="000752CF"/>
    <w:rsid w:val="00077E1F"/>
    <w:rsid w:val="00081F25"/>
    <w:rsid w:val="00082974"/>
    <w:rsid w:val="00086F69"/>
    <w:rsid w:val="000A0023"/>
    <w:rsid w:val="000C6F46"/>
    <w:rsid w:val="000E01DE"/>
    <w:rsid w:val="000E288D"/>
    <w:rsid w:val="000E7C62"/>
    <w:rsid w:val="000F0EC6"/>
    <w:rsid w:val="000F15F7"/>
    <w:rsid w:val="000F20B4"/>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B7A2B"/>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26A2"/>
    <w:rsid w:val="002E48B2"/>
    <w:rsid w:val="002F46D8"/>
    <w:rsid w:val="00306BF7"/>
    <w:rsid w:val="0032574C"/>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4F7EC1"/>
    <w:rsid w:val="00500E12"/>
    <w:rsid w:val="005127D5"/>
    <w:rsid w:val="00517ECA"/>
    <w:rsid w:val="005219AC"/>
    <w:rsid w:val="005440CA"/>
    <w:rsid w:val="0057671C"/>
    <w:rsid w:val="005A0B91"/>
    <w:rsid w:val="005A4CD1"/>
    <w:rsid w:val="005B4BF0"/>
    <w:rsid w:val="005B629C"/>
    <w:rsid w:val="005C44CE"/>
    <w:rsid w:val="005C7F27"/>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45C24"/>
    <w:rsid w:val="008503D5"/>
    <w:rsid w:val="00853CC0"/>
    <w:rsid w:val="00853F3E"/>
    <w:rsid w:val="00855F62"/>
    <w:rsid w:val="00881113"/>
    <w:rsid w:val="00884EC3"/>
    <w:rsid w:val="00893B06"/>
    <w:rsid w:val="00893EAF"/>
    <w:rsid w:val="008A774F"/>
    <w:rsid w:val="008C5E64"/>
    <w:rsid w:val="008D5310"/>
    <w:rsid w:val="008E5C6B"/>
    <w:rsid w:val="00902379"/>
    <w:rsid w:val="00904483"/>
    <w:rsid w:val="00920860"/>
    <w:rsid w:val="009308AA"/>
    <w:rsid w:val="00940611"/>
    <w:rsid w:val="00944751"/>
    <w:rsid w:val="009512DF"/>
    <w:rsid w:val="00970982"/>
    <w:rsid w:val="00973F38"/>
    <w:rsid w:val="009763EE"/>
    <w:rsid w:val="009830D3"/>
    <w:rsid w:val="009854F3"/>
    <w:rsid w:val="0099136C"/>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1B79"/>
    <w:rsid w:val="00BF399F"/>
    <w:rsid w:val="00C06A46"/>
    <w:rsid w:val="00C14604"/>
    <w:rsid w:val="00C179EE"/>
    <w:rsid w:val="00C27759"/>
    <w:rsid w:val="00C36499"/>
    <w:rsid w:val="00C37DCA"/>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F340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D0CFF-187C-4168-BA6A-B56C2F46A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4055</Words>
  <Characters>23119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29</cp:revision>
  <cp:lastPrinted>2015-08-11T00:26:00Z</cp:lastPrinted>
  <dcterms:created xsi:type="dcterms:W3CDTF">2016-04-19T05:38:00Z</dcterms:created>
  <dcterms:modified xsi:type="dcterms:W3CDTF">2016-11-16T05:29:00Z</dcterms:modified>
</cp:coreProperties>
</file>