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65286">
        <w:rPr>
          <w:rFonts w:cs="Arial"/>
          <w:b/>
          <w:bCs/>
          <w:iCs/>
          <w:snapToGrid/>
          <w:spacing w:val="40"/>
          <w:sz w:val="36"/>
          <w:szCs w:val="36"/>
        </w:rPr>
        <w:t>204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65286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330EF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65286" w:rsidRPr="00565286">
        <w:rPr>
          <w:b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</w:t>
      </w:r>
    </w:p>
    <w:p w:rsidR="00565286" w:rsidRDefault="00565286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51E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51E5A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28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565286" w:rsidRPr="00565286">
        <w:rPr>
          <w:b/>
          <w:i/>
          <w:snapToGrid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</w:t>
      </w:r>
      <w:r w:rsidR="00565286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565286">
        <w:rPr>
          <w:snapToGrid/>
          <w:sz w:val="26"/>
          <w:szCs w:val="26"/>
        </w:rPr>
        <w:t>218</w:t>
      </w:r>
      <w:r w:rsidR="00E71BF0" w:rsidRPr="00BF07EC">
        <w:rPr>
          <w:snapToGrid/>
          <w:sz w:val="26"/>
          <w:szCs w:val="26"/>
        </w:rPr>
        <w:t xml:space="preserve"> р. </w:t>
      </w:r>
      <w:r w:rsidR="00565286">
        <w:rPr>
          <w:snapToGrid/>
          <w:sz w:val="26"/>
          <w:szCs w:val="26"/>
        </w:rPr>
        <w:t xml:space="preserve">2.1.1 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r w:rsidRPr="005330EF">
        <w:rPr>
          <w:b/>
          <w:bCs/>
          <w:i/>
          <w:iCs/>
          <w:sz w:val="26"/>
          <w:szCs w:val="26"/>
        </w:rPr>
        <w:t xml:space="preserve"> </w:t>
      </w:r>
      <w:r w:rsidRPr="005330E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330EF">
        <w:rPr>
          <w:bCs/>
          <w:i/>
          <w:iCs/>
          <w:sz w:val="26"/>
          <w:szCs w:val="26"/>
        </w:rPr>
        <w:t>соответствующими</w:t>
      </w:r>
      <w:proofErr w:type="gramEnd"/>
      <w:r w:rsidRPr="005330E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proofErr w:type="gramStart"/>
      <w:r w:rsidRPr="005330EF">
        <w:rPr>
          <w:bCs/>
          <w:i/>
          <w:iCs/>
          <w:sz w:val="26"/>
          <w:szCs w:val="26"/>
        </w:rPr>
        <w:t>предварительной</w:t>
      </w:r>
      <w:proofErr w:type="gramEnd"/>
      <w:r w:rsidRPr="005330EF">
        <w:rPr>
          <w:bCs/>
          <w:i/>
          <w:iCs/>
          <w:sz w:val="26"/>
          <w:szCs w:val="26"/>
        </w:rPr>
        <w:t xml:space="preserve"> </w:t>
      </w:r>
      <w:proofErr w:type="spellStart"/>
      <w:r w:rsidRPr="005330EF">
        <w:rPr>
          <w:bCs/>
          <w:i/>
          <w:iCs/>
          <w:sz w:val="26"/>
          <w:szCs w:val="26"/>
        </w:rPr>
        <w:t>ранжировке</w:t>
      </w:r>
      <w:proofErr w:type="spellEnd"/>
      <w:r w:rsidRPr="005330EF">
        <w:rPr>
          <w:bCs/>
          <w:i/>
          <w:iCs/>
          <w:sz w:val="26"/>
          <w:szCs w:val="26"/>
        </w:rPr>
        <w:t xml:space="preserve"> заявок.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C41EF0" w:rsidRPr="00602BAA" w:rsidRDefault="00C41EF0" w:rsidP="00C41EF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41EF0" w:rsidRPr="00602BAA" w:rsidRDefault="00C41EF0" w:rsidP="00C41EF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5"/>
        <w:gridCol w:w="5748"/>
        <w:gridCol w:w="3313"/>
      </w:tblGrid>
      <w:tr w:rsidR="00C41EF0" w:rsidRPr="00B20A0B" w:rsidTr="00C41EF0">
        <w:trPr>
          <w:trHeight w:val="71"/>
        </w:trPr>
        <w:tc>
          <w:tcPr>
            <w:tcW w:w="465" w:type="dxa"/>
          </w:tcPr>
          <w:p w:rsidR="00C41EF0" w:rsidRPr="00B20A0B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748" w:type="dxa"/>
          </w:tcPr>
          <w:p w:rsidR="00C41EF0" w:rsidRPr="00B20A0B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313" w:type="dxa"/>
          </w:tcPr>
          <w:p w:rsidR="00C41EF0" w:rsidRPr="00B20A0B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C41EF0" w:rsidRPr="00602BAA" w:rsidTr="00C41EF0">
        <w:trPr>
          <w:trHeight w:val="71"/>
        </w:trPr>
        <w:tc>
          <w:tcPr>
            <w:tcW w:w="465" w:type="dxa"/>
          </w:tcPr>
          <w:p w:rsidR="00C41EF0" w:rsidRPr="00602BAA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48" w:type="dxa"/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3313" w:type="dxa"/>
          </w:tcPr>
          <w:p w:rsidR="00C41EF0" w:rsidRPr="008D1D34" w:rsidRDefault="00C41EF0" w:rsidP="0019515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1 824 000,00 </w:t>
            </w:r>
          </w:p>
        </w:tc>
      </w:tr>
      <w:tr w:rsidR="00C41EF0" w:rsidRPr="00602BAA" w:rsidTr="00C41EF0">
        <w:trPr>
          <w:trHeight w:val="71"/>
        </w:trPr>
        <w:tc>
          <w:tcPr>
            <w:tcW w:w="465" w:type="dxa"/>
          </w:tcPr>
          <w:p w:rsidR="00C41EF0" w:rsidRPr="00602BAA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48" w:type="dxa"/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8D1D34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3313" w:type="dxa"/>
          </w:tcPr>
          <w:p w:rsidR="00C41EF0" w:rsidRPr="008D1D34" w:rsidRDefault="00C41EF0" w:rsidP="0019515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1 825 000,00 </w:t>
            </w:r>
          </w:p>
        </w:tc>
      </w:tr>
      <w:tr w:rsidR="00C41EF0" w:rsidRPr="00602BAA" w:rsidTr="00C41EF0">
        <w:trPr>
          <w:trHeight w:val="71"/>
        </w:trPr>
        <w:tc>
          <w:tcPr>
            <w:tcW w:w="465" w:type="dxa"/>
          </w:tcPr>
          <w:p w:rsidR="00C41EF0" w:rsidRPr="00602BAA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48" w:type="dxa"/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8D1D34">
              <w:rPr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Щ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3313" w:type="dxa"/>
          </w:tcPr>
          <w:p w:rsidR="00C41EF0" w:rsidRPr="008D1D34" w:rsidRDefault="00C41EF0" w:rsidP="0019515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1 829 000,00 </w:t>
            </w:r>
          </w:p>
        </w:tc>
      </w:tr>
      <w:tr w:rsidR="00C41EF0" w:rsidRPr="00602BAA" w:rsidTr="00C41EF0">
        <w:trPr>
          <w:trHeight w:val="71"/>
        </w:trPr>
        <w:tc>
          <w:tcPr>
            <w:tcW w:w="465" w:type="dxa"/>
          </w:tcPr>
          <w:p w:rsidR="00C41EF0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748" w:type="dxa"/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корп. 2, оф. 33)</w:t>
            </w:r>
          </w:p>
        </w:tc>
        <w:tc>
          <w:tcPr>
            <w:tcW w:w="3313" w:type="dxa"/>
          </w:tcPr>
          <w:p w:rsidR="00C41EF0" w:rsidRPr="008D1D34" w:rsidRDefault="00C41EF0" w:rsidP="0019515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1 910 000,00 </w:t>
            </w:r>
          </w:p>
        </w:tc>
      </w:tr>
      <w:tr w:rsidR="00C41EF0" w:rsidRPr="00602BAA" w:rsidTr="00C41EF0">
        <w:trPr>
          <w:trHeight w:val="71"/>
        </w:trPr>
        <w:tc>
          <w:tcPr>
            <w:tcW w:w="465" w:type="dxa"/>
          </w:tcPr>
          <w:p w:rsidR="00C41EF0" w:rsidRDefault="00C41EF0" w:rsidP="001951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748" w:type="dxa"/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8D1D34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3313" w:type="dxa"/>
          </w:tcPr>
          <w:p w:rsidR="00C41EF0" w:rsidRPr="008D1D34" w:rsidRDefault="00C41EF0" w:rsidP="0019515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1 930 000,00 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C41EF0" w:rsidRPr="00602BAA" w:rsidRDefault="00C41EF0" w:rsidP="00C41EF0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DC6E2F">
        <w:rPr>
          <w:b/>
          <w:i/>
          <w:sz w:val="26"/>
          <w:szCs w:val="26"/>
        </w:rPr>
        <w:t xml:space="preserve">ООО "ЭТК </w:t>
      </w:r>
      <w:proofErr w:type="spellStart"/>
      <w:r w:rsidRPr="00DC6E2F">
        <w:rPr>
          <w:b/>
          <w:i/>
          <w:sz w:val="26"/>
          <w:szCs w:val="26"/>
        </w:rPr>
        <w:t>Энерготранс</w:t>
      </w:r>
      <w:proofErr w:type="spellEnd"/>
      <w:r w:rsidRPr="00DC6E2F">
        <w:rPr>
          <w:b/>
          <w:i/>
          <w:sz w:val="26"/>
          <w:szCs w:val="26"/>
        </w:rPr>
        <w:t xml:space="preserve">" </w:t>
      </w:r>
      <w:r w:rsidRPr="00DC6E2F">
        <w:rPr>
          <w:i/>
          <w:sz w:val="26"/>
          <w:szCs w:val="26"/>
        </w:rPr>
        <w:t>(680054, г. Хабаровск, ул. Трехгорная 8),</w:t>
      </w:r>
      <w:r>
        <w:rPr>
          <w:b/>
          <w:i/>
          <w:sz w:val="26"/>
          <w:szCs w:val="26"/>
        </w:rPr>
        <w:t xml:space="preserve"> </w:t>
      </w:r>
      <w:r w:rsidRPr="008D1D34">
        <w:rPr>
          <w:b/>
          <w:i/>
          <w:color w:val="333333"/>
          <w:sz w:val="26"/>
          <w:szCs w:val="26"/>
        </w:rPr>
        <w:t>ООО "Амур-ЭП"</w:t>
      </w:r>
      <w:r w:rsidRPr="008D1D34">
        <w:rPr>
          <w:color w:val="333333"/>
          <w:sz w:val="26"/>
          <w:szCs w:val="26"/>
        </w:rPr>
        <w:t xml:space="preserve"> (680032, Хабаровский край, г. Хабаровск, </w:t>
      </w:r>
      <w:proofErr w:type="spellStart"/>
      <w:r w:rsidRPr="008D1D34">
        <w:rPr>
          <w:color w:val="333333"/>
          <w:sz w:val="26"/>
          <w:szCs w:val="26"/>
        </w:rPr>
        <w:t>пр-кт</w:t>
      </w:r>
      <w:proofErr w:type="spellEnd"/>
      <w:r w:rsidRPr="008D1D34">
        <w:rPr>
          <w:color w:val="333333"/>
          <w:sz w:val="26"/>
          <w:szCs w:val="26"/>
        </w:rPr>
        <w:t xml:space="preserve"> 60 </w:t>
      </w:r>
      <w:r w:rsidRPr="008D1D34">
        <w:rPr>
          <w:color w:val="333333"/>
          <w:sz w:val="26"/>
          <w:szCs w:val="26"/>
        </w:rPr>
        <w:lastRenderedPageBreak/>
        <w:t>лет Октября, 128 А)</w:t>
      </w:r>
      <w:r>
        <w:rPr>
          <w:color w:val="333333"/>
          <w:sz w:val="26"/>
          <w:szCs w:val="26"/>
        </w:rPr>
        <w:t xml:space="preserve">, </w:t>
      </w:r>
      <w:r w:rsidRPr="008D1D34">
        <w:rPr>
          <w:b/>
          <w:i/>
          <w:color w:val="333333"/>
          <w:sz w:val="26"/>
          <w:szCs w:val="26"/>
        </w:rPr>
        <w:t>ООО "</w:t>
      </w:r>
      <w:proofErr w:type="spellStart"/>
      <w:r w:rsidRPr="008D1D34">
        <w:rPr>
          <w:b/>
          <w:i/>
          <w:color w:val="333333"/>
          <w:sz w:val="26"/>
          <w:szCs w:val="26"/>
        </w:rPr>
        <w:t>Актис</w:t>
      </w:r>
      <w:proofErr w:type="spellEnd"/>
      <w:r w:rsidRPr="008D1D34">
        <w:rPr>
          <w:b/>
          <w:i/>
          <w:color w:val="333333"/>
          <w:sz w:val="26"/>
          <w:szCs w:val="26"/>
        </w:rPr>
        <w:t xml:space="preserve"> Капитал"</w:t>
      </w:r>
      <w:r w:rsidRPr="008D1D34">
        <w:rPr>
          <w:color w:val="333333"/>
          <w:sz w:val="26"/>
          <w:szCs w:val="26"/>
        </w:rPr>
        <w:t xml:space="preserve"> (680007, Хабаровский край, г. Хабаровск, ул. </w:t>
      </w:r>
      <w:proofErr w:type="spellStart"/>
      <w:r w:rsidRPr="008D1D34">
        <w:rPr>
          <w:color w:val="333333"/>
          <w:sz w:val="26"/>
          <w:szCs w:val="26"/>
        </w:rPr>
        <w:t>Волочаевская</w:t>
      </w:r>
      <w:proofErr w:type="spellEnd"/>
      <w:r w:rsidRPr="008D1D34">
        <w:rPr>
          <w:color w:val="333333"/>
          <w:sz w:val="26"/>
          <w:szCs w:val="26"/>
        </w:rPr>
        <w:t xml:space="preserve">, д. 8, литер </w:t>
      </w:r>
      <w:proofErr w:type="gramStart"/>
      <w:r w:rsidRPr="008D1D34">
        <w:rPr>
          <w:color w:val="333333"/>
          <w:sz w:val="26"/>
          <w:szCs w:val="26"/>
        </w:rPr>
        <w:t>Щ</w:t>
      </w:r>
      <w:proofErr w:type="gramEnd"/>
      <w:r w:rsidRPr="008D1D34">
        <w:rPr>
          <w:color w:val="333333"/>
          <w:sz w:val="26"/>
          <w:szCs w:val="26"/>
        </w:rPr>
        <w:t>, оф. 11)</w:t>
      </w:r>
      <w:r>
        <w:rPr>
          <w:color w:val="333333"/>
          <w:sz w:val="26"/>
          <w:szCs w:val="26"/>
        </w:rPr>
        <w:t xml:space="preserve">, </w:t>
      </w:r>
      <w:r w:rsidRPr="008D1D34">
        <w:rPr>
          <w:b/>
          <w:i/>
          <w:color w:val="333333"/>
          <w:sz w:val="26"/>
          <w:szCs w:val="26"/>
        </w:rPr>
        <w:t>ООО "</w:t>
      </w:r>
      <w:proofErr w:type="spellStart"/>
      <w:r w:rsidRPr="008D1D34">
        <w:rPr>
          <w:b/>
          <w:i/>
          <w:color w:val="333333"/>
          <w:sz w:val="26"/>
          <w:szCs w:val="26"/>
        </w:rPr>
        <w:t>ДальЭнергоТехСтрой</w:t>
      </w:r>
      <w:proofErr w:type="spellEnd"/>
      <w:r w:rsidRPr="008D1D34">
        <w:rPr>
          <w:b/>
          <w:i/>
          <w:color w:val="333333"/>
          <w:sz w:val="26"/>
          <w:szCs w:val="26"/>
        </w:rPr>
        <w:t>"</w:t>
      </w:r>
      <w:r w:rsidRPr="008D1D34">
        <w:rPr>
          <w:color w:val="333333"/>
          <w:sz w:val="26"/>
          <w:szCs w:val="26"/>
        </w:rPr>
        <w:t xml:space="preserve"> (680007, Россия, Хабаровский край, г. Хабаровск, пер. Трубный, д. 14, корп. 2, оф. 33)</w:t>
      </w:r>
      <w:r>
        <w:rPr>
          <w:color w:val="333333"/>
          <w:sz w:val="26"/>
          <w:szCs w:val="26"/>
        </w:rPr>
        <w:t xml:space="preserve">, </w:t>
      </w:r>
      <w:r w:rsidRPr="008D1D34">
        <w:rPr>
          <w:b/>
          <w:i/>
          <w:color w:val="333333"/>
          <w:sz w:val="26"/>
          <w:szCs w:val="26"/>
        </w:rPr>
        <w:t>ООО "ДТЭН"</w:t>
      </w:r>
      <w:r w:rsidRPr="008D1D34">
        <w:rPr>
          <w:color w:val="333333"/>
          <w:sz w:val="26"/>
          <w:szCs w:val="26"/>
        </w:rPr>
        <w:t xml:space="preserve"> (680000, Россия, </w:t>
      </w:r>
      <w:proofErr w:type="gramStart"/>
      <w:r w:rsidRPr="008D1D34">
        <w:rPr>
          <w:color w:val="333333"/>
          <w:sz w:val="26"/>
          <w:szCs w:val="26"/>
        </w:rPr>
        <w:t>Хабаровский край, г. Хабаровск, ул. Ким-Ю-</w:t>
      </w:r>
      <w:proofErr w:type="spellStart"/>
      <w:r w:rsidRPr="008D1D34">
        <w:rPr>
          <w:color w:val="333333"/>
          <w:sz w:val="26"/>
          <w:szCs w:val="26"/>
        </w:rPr>
        <w:t>Чена</w:t>
      </w:r>
      <w:proofErr w:type="spellEnd"/>
      <w:r w:rsidRPr="008D1D34">
        <w:rPr>
          <w:color w:val="333333"/>
          <w:sz w:val="26"/>
          <w:szCs w:val="26"/>
        </w:rPr>
        <w:t>, д. 4, оф. 43)</w:t>
      </w:r>
      <w:r w:rsidRPr="00602BAA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C41EF0" w:rsidRPr="00576084" w:rsidRDefault="00C41EF0" w:rsidP="00C41EF0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71"/>
        <w:gridCol w:w="2087"/>
        <w:gridCol w:w="1253"/>
      </w:tblGrid>
      <w:tr w:rsidR="00C41EF0" w:rsidRPr="00C7207B" w:rsidTr="00C41EF0">
        <w:trPr>
          <w:trHeight w:val="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C7207B" w:rsidRDefault="00C41EF0" w:rsidP="001951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C7207B" w:rsidRDefault="00C41EF0" w:rsidP="001951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C7207B" w:rsidRDefault="00C41EF0" w:rsidP="0019515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C7207B" w:rsidRDefault="00C41EF0" w:rsidP="001951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41EF0" w:rsidRPr="00602BAA" w:rsidTr="00C41EF0">
        <w:trPr>
          <w:trHeight w:val="90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602BAA" w:rsidRDefault="00C41EF0" w:rsidP="0019515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8D1D34">
              <w:rPr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Щ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1 829 000,00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3,6</w:t>
            </w:r>
          </w:p>
        </w:tc>
      </w:tr>
      <w:tr w:rsidR="00C41EF0" w:rsidRPr="00602BAA" w:rsidTr="00C41EF0">
        <w:trPr>
          <w:trHeight w:val="89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F0" w:rsidRPr="00602BAA" w:rsidRDefault="00C41EF0" w:rsidP="0019515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8D1D34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1 825 000,00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3,3</w:t>
            </w:r>
          </w:p>
        </w:tc>
      </w:tr>
      <w:tr w:rsidR="00C41EF0" w:rsidRPr="00602BAA" w:rsidTr="00C41EF0">
        <w:trPr>
          <w:trHeight w:val="90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корп. 2, оф. 33)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1 910 000,00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C41EF0" w:rsidRPr="00602BAA" w:rsidTr="00C41EF0">
        <w:trPr>
          <w:trHeight w:val="58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19515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1 824 000,00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2,7</w:t>
            </w:r>
          </w:p>
        </w:tc>
      </w:tr>
      <w:tr w:rsidR="00C41EF0" w:rsidRPr="00602BAA" w:rsidTr="00C41EF0">
        <w:trPr>
          <w:trHeight w:val="90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19515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8D1D34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8D1D34" w:rsidRDefault="00C41EF0" w:rsidP="0019515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1 930 000,00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Pr="00602BAA" w:rsidRDefault="00C41EF0" w:rsidP="0019515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2,1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C41EF0" w:rsidRPr="00602BAA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C41EF0" w:rsidRPr="00DC6E2F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C6E2F">
        <w:rPr>
          <w:sz w:val="26"/>
          <w:szCs w:val="26"/>
        </w:rPr>
        <w:t>Допустить к участию в переторжке заявки следующих участников</w:t>
      </w:r>
      <w:r w:rsidRPr="00DC6E2F">
        <w:t xml:space="preserve"> </w:t>
      </w:r>
      <w:r w:rsidRPr="00DC6E2F">
        <w:rPr>
          <w:sz w:val="26"/>
          <w:szCs w:val="26"/>
        </w:rPr>
        <w:t xml:space="preserve">ООО "ЭТК </w:t>
      </w:r>
      <w:proofErr w:type="spellStart"/>
      <w:r w:rsidRPr="00DC6E2F">
        <w:rPr>
          <w:sz w:val="26"/>
          <w:szCs w:val="26"/>
        </w:rPr>
        <w:t>Энерготранс</w:t>
      </w:r>
      <w:proofErr w:type="spellEnd"/>
      <w:r w:rsidRPr="00DC6E2F">
        <w:rPr>
          <w:sz w:val="26"/>
          <w:szCs w:val="26"/>
        </w:rPr>
        <w:t xml:space="preserve">" (680054, г. Хабаровск, ул. Трехгорная 8), ООО "Амур-ЭП" (680032, Хабаровский край, г. Хабаровск, </w:t>
      </w:r>
      <w:proofErr w:type="spellStart"/>
      <w:r w:rsidRPr="00DC6E2F">
        <w:rPr>
          <w:sz w:val="26"/>
          <w:szCs w:val="26"/>
        </w:rPr>
        <w:t>пр-кт</w:t>
      </w:r>
      <w:proofErr w:type="spellEnd"/>
      <w:r w:rsidRPr="00DC6E2F">
        <w:rPr>
          <w:sz w:val="26"/>
          <w:szCs w:val="26"/>
        </w:rPr>
        <w:t xml:space="preserve"> 60 лет Октября, 128 А), ООО "</w:t>
      </w:r>
      <w:proofErr w:type="spellStart"/>
      <w:r w:rsidRPr="00DC6E2F">
        <w:rPr>
          <w:sz w:val="26"/>
          <w:szCs w:val="26"/>
        </w:rPr>
        <w:t>Актис</w:t>
      </w:r>
      <w:proofErr w:type="spellEnd"/>
      <w:r w:rsidRPr="00DC6E2F">
        <w:rPr>
          <w:sz w:val="26"/>
          <w:szCs w:val="26"/>
        </w:rPr>
        <w:t xml:space="preserve"> Капитал" (680007, Хабаровский край, г. Хабаровск, ул. </w:t>
      </w:r>
      <w:proofErr w:type="spellStart"/>
      <w:r w:rsidRPr="00DC6E2F">
        <w:rPr>
          <w:sz w:val="26"/>
          <w:szCs w:val="26"/>
        </w:rPr>
        <w:t>Волочаевская</w:t>
      </w:r>
      <w:proofErr w:type="spellEnd"/>
      <w:r w:rsidRPr="00DC6E2F">
        <w:rPr>
          <w:sz w:val="26"/>
          <w:szCs w:val="26"/>
        </w:rPr>
        <w:t xml:space="preserve">, д. 8, литер </w:t>
      </w:r>
      <w:proofErr w:type="gramStart"/>
      <w:r w:rsidRPr="00DC6E2F">
        <w:rPr>
          <w:sz w:val="26"/>
          <w:szCs w:val="26"/>
        </w:rPr>
        <w:t>Щ</w:t>
      </w:r>
      <w:proofErr w:type="gramEnd"/>
      <w:r w:rsidRPr="00DC6E2F">
        <w:rPr>
          <w:sz w:val="26"/>
          <w:szCs w:val="26"/>
        </w:rPr>
        <w:t>, оф. 11), ООО "</w:t>
      </w:r>
      <w:proofErr w:type="spellStart"/>
      <w:r w:rsidRPr="00DC6E2F">
        <w:rPr>
          <w:sz w:val="26"/>
          <w:szCs w:val="26"/>
        </w:rPr>
        <w:t>ДальЭнергоТехСтрой</w:t>
      </w:r>
      <w:proofErr w:type="spellEnd"/>
      <w:r w:rsidRPr="00DC6E2F">
        <w:rPr>
          <w:sz w:val="26"/>
          <w:szCs w:val="26"/>
        </w:rPr>
        <w:t xml:space="preserve">" (680007, Россия, Хабаровский край, г. Хабаровск, пер. Трубный, д. 14, корп. 2, </w:t>
      </w:r>
      <w:proofErr w:type="gramStart"/>
      <w:r w:rsidRPr="00DC6E2F">
        <w:rPr>
          <w:sz w:val="26"/>
          <w:szCs w:val="26"/>
        </w:rPr>
        <w:t>оф. 33), ООО "ДТЭН" (680000, Россия, Хабаровский край, г. Хабаровск, ул. Ким-Ю-</w:t>
      </w:r>
      <w:proofErr w:type="spellStart"/>
      <w:r w:rsidRPr="00DC6E2F">
        <w:rPr>
          <w:sz w:val="26"/>
          <w:szCs w:val="26"/>
        </w:rPr>
        <w:t>Чена</w:t>
      </w:r>
      <w:proofErr w:type="spellEnd"/>
      <w:r w:rsidRPr="00DC6E2F">
        <w:rPr>
          <w:sz w:val="26"/>
          <w:szCs w:val="26"/>
        </w:rPr>
        <w:t xml:space="preserve">, д. 4, оф. 43) </w:t>
      </w:r>
      <w:proofErr w:type="gramEnd"/>
    </w:p>
    <w:p w:rsidR="00C41EF0" w:rsidRPr="00DC6E2F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C6E2F">
        <w:rPr>
          <w:sz w:val="26"/>
          <w:szCs w:val="26"/>
        </w:rPr>
        <w:t xml:space="preserve">Определить форму переторжки: </w:t>
      </w:r>
      <w:proofErr w:type="gramStart"/>
      <w:r w:rsidRPr="00DC6E2F">
        <w:rPr>
          <w:sz w:val="26"/>
          <w:szCs w:val="26"/>
        </w:rPr>
        <w:t>заочная</w:t>
      </w:r>
      <w:proofErr w:type="gramEnd"/>
      <w:r w:rsidRPr="00DC6E2F">
        <w:rPr>
          <w:sz w:val="26"/>
          <w:szCs w:val="26"/>
        </w:rPr>
        <w:t>.</w:t>
      </w:r>
    </w:p>
    <w:p w:rsidR="00C41EF0" w:rsidRPr="00602BAA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13.02</w:t>
      </w:r>
      <w:r w:rsidRPr="00602BAA">
        <w:rPr>
          <w:sz w:val="26"/>
          <w:szCs w:val="26"/>
        </w:rPr>
        <w:t>.2017 в 10:00 час</w:t>
      </w:r>
      <w:proofErr w:type="gramStart"/>
      <w:r w:rsidRPr="00602BAA">
        <w:rPr>
          <w:sz w:val="26"/>
          <w:szCs w:val="26"/>
        </w:rPr>
        <w:t>.</w:t>
      </w:r>
      <w:proofErr w:type="gramEnd"/>
      <w:r w:rsidRPr="00602BAA">
        <w:rPr>
          <w:sz w:val="26"/>
          <w:szCs w:val="26"/>
        </w:rPr>
        <w:t xml:space="preserve">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C41EF0" w:rsidRPr="00602BAA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C41EF0" w:rsidRPr="00602BAA" w:rsidRDefault="00C41EF0" w:rsidP="00C41EF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5A" w:rsidRDefault="00C76B5A" w:rsidP="00355095">
      <w:pPr>
        <w:spacing w:line="240" w:lineRule="auto"/>
      </w:pPr>
      <w:r>
        <w:separator/>
      </w:r>
    </w:p>
  </w:endnote>
  <w:endnote w:type="continuationSeparator" w:id="0">
    <w:p w:rsidR="00C76B5A" w:rsidRDefault="00C76B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E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E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5A" w:rsidRDefault="00C76B5A" w:rsidP="00355095">
      <w:pPr>
        <w:spacing w:line="240" w:lineRule="auto"/>
      </w:pPr>
      <w:r>
        <w:separator/>
      </w:r>
    </w:p>
  </w:footnote>
  <w:footnote w:type="continuationSeparator" w:id="0">
    <w:p w:rsidR="00C76B5A" w:rsidRDefault="00C76B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330EF">
      <w:rPr>
        <w:i/>
        <w:sz w:val="20"/>
      </w:rPr>
      <w:t>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4545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5286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22AA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0955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1E5A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1EF0"/>
    <w:rsid w:val="00C438F5"/>
    <w:rsid w:val="00C45048"/>
    <w:rsid w:val="00C52642"/>
    <w:rsid w:val="00C52908"/>
    <w:rsid w:val="00C55AD2"/>
    <w:rsid w:val="00C62488"/>
    <w:rsid w:val="00C75C4C"/>
    <w:rsid w:val="00C76B5A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4C4C-5EA5-40DC-9D37-90D19AE0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2017-02-04T04:33:00Z</cp:lastPrinted>
  <dcterms:created xsi:type="dcterms:W3CDTF">2015-01-16T07:03:00Z</dcterms:created>
  <dcterms:modified xsi:type="dcterms:W3CDTF">2017-02-09T07:16:00Z</dcterms:modified>
</cp:coreProperties>
</file>