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CB0AE5">
        <w:rPr>
          <w:bCs/>
          <w:caps/>
          <w:sz w:val="36"/>
          <w:szCs w:val="36"/>
        </w:rPr>
        <w:t>94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CB0AE5" w:rsidRPr="00CB0AE5" w:rsidRDefault="00CB0AE5" w:rsidP="00CB0AE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CB0AE5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CB0AE5">
        <w:rPr>
          <w:sz w:val="26"/>
          <w:szCs w:val="26"/>
        </w:rPr>
        <w:t xml:space="preserve">на выполнение работ </w:t>
      </w:r>
    </w:p>
    <w:p w:rsidR="00CB0AE5" w:rsidRPr="00CB0AE5" w:rsidRDefault="00CB0AE5" w:rsidP="00CB0AE5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CB0AE5">
        <w:rPr>
          <w:b/>
          <w:i/>
          <w:sz w:val="26"/>
          <w:szCs w:val="26"/>
        </w:rPr>
        <w:t xml:space="preserve">«Чистка просеки, валка деревьев </w:t>
      </w:r>
      <w:proofErr w:type="gramStart"/>
      <w:r w:rsidRPr="00CB0AE5">
        <w:rPr>
          <w:b/>
          <w:i/>
          <w:sz w:val="26"/>
          <w:szCs w:val="26"/>
        </w:rPr>
        <w:t>ВЛ</w:t>
      </w:r>
      <w:proofErr w:type="gramEnd"/>
      <w:r w:rsidRPr="00CB0AE5">
        <w:rPr>
          <w:b/>
          <w:i/>
          <w:sz w:val="26"/>
          <w:szCs w:val="26"/>
        </w:rPr>
        <w:t xml:space="preserve"> 110-10 </w:t>
      </w:r>
      <w:proofErr w:type="spellStart"/>
      <w:r w:rsidRPr="00CB0AE5">
        <w:rPr>
          <w:b/>
          <w:i/>
          <w:sz w:val="26"/>
          <w:szCs w:val="26"/>
        </w:rPr>
        <w:t>кВ</w:t>
      </w:r>
      <w:proofErr w:type="spellEnd"/>
      <w:r w:rsidRPr="00CB0AE5">
        <w:rPr>
          <w:b/>
          <w:i/>
          <w:sz w:val="26"/>
          <w:szCs w:val="26"/>
        </w:rPr>
        <w:t>»</w:t>
      </w:r>
      <w:r w:rsidRPr="00CB0AE5">
        <w:rPr>
          <w:bCs/>
          <w:sz w:val="26"/>
          <w:szCs w:val="26"/>
        </w:rPr>
        <w:t xml:space="preserve"> </w:t>
      </w:r>
    </w:p>
    <w:p w:rsidR="00CB0AE5" w:rsidRPr="00CB0AE5" w:rsidRDefault="00CB0AE5" w:rsidP="00CB0AE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CB0AE5">
        <w:rPr>
          <w:bCs/>
          <w:sz w:val="26"/>
          <w:szCs w:val="26"/>
        </w:rPr>
        <w:t>для нужд филиала «ЭС ЕАО» (закупка № 90 раздел 1.1.</w:t>
      </w:r>
      <w:proofErr w:type="gramEnd"/>
      <w:r w:rsidRPr="00CB0AE5">
        <w:rPr>
          <w:bCs/>
          <w:sz w:val="26"/>
          <w:szCs w:val="26"/>
        </w:rPr>
        <w:t xml:space="preserve"> </w:t>
      </w:r>
      <w:proofErr w:type="gramStart"/>
      <w:r w:rsidRPr="00CB0AE5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834F30" w:rsidP="00CB0AE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3C2715">
              <w:rPr>
                <w:rFonts w:ascii="Times New Roman" w:hAnsi="Times New Roman"/>
                <w:sz w:val="24"/>
                <w:szCs w:val="24"/>
              </w:rPr>
              <w:t>ря 201</w:t>
            </w:r>
            <w:r w:rsidR="00CB0A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B0AE5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B0AE5" w:rsidRPr="007E0886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5D11F4">
        <w:rPr>
          <w:sz w:val="24"/>
        </w:rPr>
        <w:t>ООО "</w:t>
      </w:r>
      <w:proofErr w:type="spellStart"/>
      <w:r w:rsidRPr="005D11F4">
        <w:rPr>
          <w:sz w:val="24"/>
        </w:rPr>
        <w:t>СтройГарант</w:t>
      </w:r>
      <w:proofErr w:type="spellEnd"/>
      <w:r w:rsidRPr="005D11F4">
        <w:rPr>
          <w:sz w:val="24"/>
        </w:rPr>
        <w:t>"</w:t>
      </w:r>
      <w:r w:rsidRPr="007E0886">
        <w:rPr>
          <w:bCs/>
          <w:iCs/>
          <w:sz w:val="24"/>
        </w:rPr>
        <w:t>.</w:t>
      </w:r>
    </w:p>
    <w:p w:rsidR="00CB0AE5" w:rsidRPr="00AA25FB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B0AE5" w:rsidRPr="00AA25FB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CB0AE5" w:rsidRDefault="00CB0AE5" w:rsidP="00CB0AE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  <w:bookmarkStart w:id="2" w:name="_GoBack"/>
      <w:bookmarkEnd w:id="2"/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0AE5" w:rsidRPr="00F943FC" w:rsidRDefault="00CB0AE5" w:rsidP="00CB0AE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B0AE5" w:rsidRDefault="00CB0AE5" w:rsidP="00CB0AE5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CB0AE5" w:rsidRPr="005D11F4" w:rsidTr="00AD7E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D11F4">
              <w:rPr>
                <w:sz w:val="24"/>
                <w:szCs w:val="24"/>
              </w:rPr>
              <w:t>запросе</w:t>
            </w:r>
            <w:proofErr w:type="gramEnd"/>
            <w:r w:rsidRPr="005D11F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CB0AE5" w:rsidRPr="005D11F4" w:rsidTr="00AD7E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>ООО "</w:t>
            </w:r>
            <w:proofErr w:type="spellStart"/>
            <w:r w:rsidRPr="005D11F4">
              <w:rPr>
                <w:sz w:val="24"/>
                <w:szCs w:val="24"/>
              </w:rPr>
              <w:t>СтройГарант</w:t>
            </w:r>
            <w:proofErr w:type="spellEnd"/>
            <w:r w:rsidRPr="005D11F4">
              <w:rPr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Заявка, подана 20.12.2016 в 08:58</w:t>
            </w:r>
            <w:r w:rsidRPr="005D11F4">
              <w:rPr>
                <w:sz w:val="24"/>
                <w:szCs w:val="24"/>
              </w:rPr>
              <w:br/>
              <w:t xml:space="preserve">Цена: 11 454 333,16 руб. (цена без НДС: </w:t>
            </w:r>
            <w:r w:rsidRPr="005D11F4">
              <w:rPr>
                <w:b/>
                <w:sz w:val="24"/>
                <w:szCs w:val="24"/>
              </w:rPr>
              <w:t>9 707 062,00</w:t>
            </w:r>
            <w:r w:rsidRPr="005D11F4">
              <w:rPr>
                <w:sz w:val="24"/>
                <w:szCs w:val="24"/>
              </w:rPr>
              <w:t> руб.)</w:t>
            </w:r>
          </w:p>
        </w:tc>
      </w:tr>
      <w:tr w:rsidR="00CB0AE5" w:rsidRPr="005D11F4" w:rsidTr="00AD7E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Заявка: подана 16.12.2016 в 13:38</w:t>
            </w:r>
            <w:r w:rsidRPr="005D11F4">
              <w:rPr>
                <w:sz w:val="24"/>
                <w:szCs w:val="24"/>
              </w:rPr>
              <w:br/>
              <w:t xml:space="preserve">Цена: </w:t>
            </w:r>
            <w:r w:rsidRPr="005D11F4">
              <w:rPr>
                <w:b/>
                <w:sz w:val="24"/>
                <w:szCs w:val="24"/>
              </w:rPr>
              <w:t>9 708 112,48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</w:tr>
      <w:tr w:rsidR="00CB0AE5" w:rsidRPr="005D11F4" w:rsidTr="00AD7E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Заявка, подана 20.12.2016 в 08:21</w:t>
            </w:r>
            <w:r w:rsidRPr="005D11F4">
              <w:rPr>
                <w:sz w:val="24"/>
                <w:szCs w:val="24"/>
              </w:rPr>
              <w:br/>
              <w:t xml:space="preserve">Цена: 11 564 000,00 руб. (цена без НДС: </w:t>
            </w:r>
            <w:r w:rsidRPr="005D11F4">
              <w:rPr>
                <w:b/>
                <w:sz w:val="24"/>
                <w:szCs w:val="24"/>
              </w:rPr>
              <w:t>9 800 000,00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</w:tr>
      <w:tr w:rsidR="00CB0AE5" w:rsidRPr="005D11F4" w:rsidTr="00AD7E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</w:t>
            </w:r>
            <w:proofErr w:type="spellStart"/>
            <w:r w:rsidRPr="005D11F4">
              <w:rPr>
                <w:sz w:val="24"/>
                <w:szCs w:val="24"/>
              </w:rPr>
              <w:t>Сельэлектрострой</w:t>
            </w:r>
            <w:proofErr w:type="spellEnd"/>
            <w:r w:rsidRPr="005D11F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Заявка, подана 20.12.2016 в 08:24</w:t>
            </w:r>
            <w:r w:rsidRPr="005D11F4">
              <w:rPr>
                <w:sz w:val="24"/>
                <w:szCs w:val="24"/>
              </w:rPr>
              <w:br/>
              <w:t xml:space="preserve">Цена: 12 154 000,00 руб. (цена без НДС: </w:t>
            </w:r>
            <w:r w:rsidRPr="005D11F4">
              <w:rPr>
                <w:b/>
                <w:sz w:val="24"/>
                <w:szCs w:val="24"/>
              </w:rPr>
              <w:t>10 300 000,00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</w:tr>
      <w:tr w:rsidR="00CB0AE5" w:rsidRPr="005D11F4" w:rsidTr="00AD7E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Заявка: 10 341 669,86 руб. (цена без НДС), подана 18.12.2016 в 12:05</w:t>
            </w:r>
            <w:r w:rsidRPr="005D11F4">
              <w:rPr>
                <w:sz w:val="24"/>
                <w:szCs w:val="24"/>
              </w:rPr>
              <w:br/>
              <w:t xml:space="preserve">Цена: </w:t>
            </w:r>
            <w:r w:rsidRPr="005D11F4">
              <w:rPr>
                <w:b/>
                <w:sz w:val="24"/>
                <w:szCs w:val="24"/>
              </w:rPr>
              <w:t>10 341 669,86</w:t>
            </w:r>
            <w:r w:rsidRPr="005D11F4">
              <w:rPr>
                <w:sz w:val="24"/>
                <w:szCs w:val="24"/>
              </w:rPr>
              <w:t xml:space="preserve"> руб. (НДС не </w:t>
            </w:r>
            <w:r w:rsidRPr="005D11F4">
              <w:rPr>
                <w:sz w:val="24"/>
                <w:szCs w:val="24"/>
              </w:rPr>
              <w:lastRenderedPageBreak/>
              <w:t>облагается)</w:t>
            </w:r>
          </w:p>
        </w:tc>
      </w:tr>
      <w:tr w:rsidR="00CB0AE5" w:rsidRPr="005D11F4" w:rsidTr="00AD7E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Заявка: подана 20.12.2016 в 05:50</w:t>
            </w:r>
            <w:r w:rsidRPr="005D11F4">
              <w:rPr>
                <w:sz w:val="24"/>
                <w:szCs w:val="24"/>
              </w:rPr>
              <w:br/>
              <w:t xml:space="preserve">Цена: 12 589 455,57 руб. (цена без НДС: </w:t>
            </w:r>
            <w:r w:rsidRPr="005D11F4">
              <w:rPr>
                <w:b/>
                <w:sz w:val="24"/>
                <w:szCs w:val="24"/>
              </w:rPr>
              <w:t>10 669 030,14</w:t>
            </w:r>
            <w:r w:rsidRPr="005D11F4">
              <w:rPr>
                <w:sz w:val="24"/>
                <w:szCs w:val="24"/>
              </w:rPr>
              <w:t> руб.)</w:t>
            </w:r>
          </w:p>
        </w:tc>
      </w:tr>
    </w:tbl>
    <w:p w:rsidR="00CB0AE5" w:rsidRDefault="00CB0AE5" w:rsidP="00CB0AE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0AE5" w:rsidRDefault="00CB0AE5" w:rsidP="00CB0AE5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5D11F4">
        <w:rPr>
          <w:sz w:val="24"/>
          <w:szCs w:val="24"/>
        </w:rPr>
        <w:t>ООО "</w:t>
      </w:r>
      <w:proofErr w:type="spellStart"/>
      <w:r w:rsidRPr="005D11F4">
        <w:rPr>
          <w:sz w:val="24"/>
          <w:szCs w:val="24"/>
        </w:rPr>
        <w:t>СтройГарант</w:t>
      </w:r>
      <w:proofErr w:type="spellEnd"/>
      <w:r w:rsidRPr="005D11F4">
        <w:rPr>
          <w:sz w:val="24"/>
          <w:szCs w:val="24"/>
        </w:rPr>
        <w:t>" (676282, Россия, Амурская обл., г. Тында, ул. Красная Пресня, д. 3, кв. 104)</w:t>
      </w:r>
      <w:r>
        <w:rPr>
          <w:szCs w:val="24"/>
        </w:rPr>
        <w:t xml:space="preserve"> </w:t>
      </w:r>
      <w:r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proofErr w:type="gramEnd"/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А также на основании пунктов 7.2 и 7.3 Технического задания, в соответствии с которыми Участник должен был раскрыть информацию о достаточном наличии кадровых и материально-технических ресурсов для исполнения договора.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B0AE5" w:rsidRPr="0089552C" w:rsidTr="00AD7E89">
        <w:tc>
          <w:tcPr>
            <w:tcW w:w="9747" w:type="dxa"/>
            <w:shd w:val="clear" w:color="auto" w:fill="auto"/>
          </w:tcPr>
          <w:p w:rsidR="00CB0AE5" w:rsidRPr="0089552C" w:rsidRDefault="00CB0AE5" w:rsidP="00AD7E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B0AE5" w:rsidRPr="0089552C" w:rsidTr="00AD7E89">
        <w:tc>
          <w:tcPr>
            <w:tcW w:w="9747" w:type="dxa"/>
            <w:shd w:val="clear" w:color="auto" w:fill="auto"/>
          </w:tcPr>
          <w:p w:rsidR="00CB0AE5" w:rsidRDefault="00CB0AE5" w:rsidP="00AD7E89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участка отсутствуют следующие документы:</w:t>
            </w:r>
          </w:p>
          <w:p w:rsidR="00CB0AE5" w:rsidRPr="00806E7D" w:rsidRDefault="00CB0AE5" w:rsidP="00CB0AE5">
            <w:pPr>
              <w:pStyle w:val="af6"/>
              <w:numPr>
                <w:ilvl w:val="0"/>
                <w:numId w:val="50"/>
              </w:numPr>
              <w:tabs>
                <w:tab w:val="left" w:pos="0"/>
                <w:tab w:val="left" w:pos="851"/>
                <w:tab w:val="left" w:pos="184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  <w:r w:rsidRPr="00806E7D">
              <w:rPr>
                <w:sz w:val="24"/>
                <w:szCs w:val="24"/>
              </w:rPr>
              <w:t xml:space="preserve"> о материально-технических ресурсах, которые будут использова</w:t>
            </w:r>
            <w:r>
              <w:rPr>
                <w:sz w:val="24"/>
                <w:szCs w:val="24"/>
              </w:rPr>
              <w:t>ны в рамках выполнения Договора</w:t>
            </w:r>
          </w:p>
          <w:p w:rsidR="00CB0AE5" w:rsidRDefault="00CB0AE5" w:rsidP="00CB0AE5">
            <w:pPr>
              <w:pStyle w:val="af6"/>
              <w:numPr>
                <w:ilvl w:val="0"/>
                <w:numId w:val="50"/>
              </w:numPr>
              <w:tabs>
                <w:tab w:val="left" w:pos="0"/>
                <w:tab w:val="left" w:pos="851"/>
                <w:tab w:val="left" w:pos="184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806E7D">
              <w:rPr>
                <w:sz w:val="24"/>
                <w:szCs w:val="24"/>
              </w:rPr>
              <w:t>Справк</w:t>
            </w:r>
            <w:r>
              <w:rPr>
                <w:sz w:val="24"/>
                <w:szCs w:val="24"/>
              </w:rPr>
              <w:t>а</w:t>
            </w:r>
            <w:r w:rsidRPr="00806E7D">
              <w:rPr>
                <w:sz w:val="24"/>
                <w:szCs w:val="24"/>
              </w:rPr>
              <w:t xml:space="preserve"> о кадровых ресурсах, которые будут привле</w:t>
            </w:r>
            <w:r>
              <w:rPr>
                <w:sz w:val="24"/>
                <w:szCs w:val="24"/>
              </w:rPr>
              <w:t>чены в ходе выполнения Договора</w:t>
            </w:r>
          </w:p>
          <w:p w:rsidR="00CB0AE5" w:rsidRPr="007A181F" w:rsidRDefault="00CB0AE5" w:rsidP="00AD7E89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не соответствует пункту 2.5.4.1. Документации о закупке, в которых приведен список требуемых документов.</w:t>
            </w:r>
          </w:p>
        </w:tc>
      </w:tr>
    </w:tbl>
    <w:p w:rsidR="00CB0AE5" w:rsidRDefault="00CB0AE5" w:rsidP="00CB0AE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0AE5" w:rsidRPr="00F943FC" w:rsidRDefault="00CB0AE5" w:rsidP="00CB0AE5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5D11F4">
        <w:rPr>
          <w:sz w:val="24"/>
          <w:szCs w:val="24"/>
        </w:rPr>
        <w:t>ООО "ТЕХНОДИЗАЙН СЕРВИС" (680013, Россия, Хабаровский край, г. Хабаровск, ул. Ленинградская, д. 37, оф. 6)</w:t>
      </w:r>
      <w:r>
        <w:rPr>
          <w:sz w:val="24"/>
          <w:szCs w:val="24"/>
        </w:rPr>
        <w:t xml:space="preserve">, </w:t>
      </w:r>
      <w:r w:rsidRPr="005D11F4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sz w:val="24"/>
          <w:szCs w:val="24"/>
        </w:rPr>
        <w:t xml:space="preserve">, </w:t>
      </w:r>
      <w:r w:rsidRPr="005D11F4">
        <w:rPr>
          <w:sz w:val="24"/>
          <w:szCs w:val="24"/>
        </w:rPr>
        <w:t>ООО "</w:t>
      </w:r>
      <w:proofErr w:type="spellStart"/>
      <w:r w:rsidRPr="005D11F4">
        <w:rPr>
          <w:sz w:val="24"/>
          <w:szCs w:val="24"/>
        </w:rPr>
        <w:t>Сельэлектрострой</w:t>
      </w:r>
      <w:proofErr w:type="spellEnd"/>
      <w:r w:rsidRPr="005D11F4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5D11F4">
        <w:rPr>
          <w:sz w:val="24"/>
          <w:szCs w:val="24"/>
        </w:rPr>
        <w:t>ООО "ПОДРЯДЧИК ДВ" (675018, Россия, Амурская обл., п. Моховая падь, лит. 1, кв. 53</w:t>
      </w:r>
      <w:proofErr w:type="gramEnd"/>
      <w:r w:rsidRPr="005D11F4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5D11F4">
        <w:rPr>
          <w:sz w:val="24"/>
          <w:szCs w:val="24"/>
        </w:rPr>
        <w:t>ООО "ГОРТРАНС" (680014, Россия, г. Хабаровск, квартал ДОС, д. 4/16)</w:t>
      </w:r>
      <w:r>
        <w:rPr>
          <w:bCs/>
          <w:iCs/>
          <w:sz w:val="24"/>
          <w:szCs w:val="24"/>
        </w:rPr>
        <w:t xml:space="preserve"> 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0AE5" w:rsidRDefault="00CB0AE5" w:rsidP="00CB0AE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CB0AE5" w:rsidRPr="00A967F1" w:rsidTr="00AD7E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5" w:rsidRPr="00A967F1" w:rsidRDefault="00CB0AE5" w:rsidP="00AD7E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5" w:rsidRPr="00A967F1" w:rsidRDefault="00CB0AE5" w:rsidP="00AD7E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5" w:rsidRPr="00A967F1" w:rsidRDefault="00CB0AE5" w:rsidP="00AD7E8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AE5" w:rsidRPr="00A967F1" w:rsidRDefault="00CB0AE5" w:rsidP="00AD7E8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B0AE5" w:rsidRPr="00A967F1" w:rsidTr="00AD7E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A967F1" w:rsidRDefault="00CB0AE5" w:rsidP="00AD7E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</w:t>
            </w:r>
            <w:proofErr w:type="spellStart"/>
            <w:r w:rsidRPr="005D11F4">
              <w:rPr>
                <w:sz w:val="24"/>
                <w:szCs w:val="24"/>
              </w:rPr>
              <w:t>Сельэлектрострой</w:t>
            </w:r>
            <w:proofErr w:type="spellEnd"/>
            <w:r w:rsidRPr="005D11F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12 154 000,00 руб. (цена без НДС: </w:t>
            </w:r>
            <w:r w:rsidRPr="005D11F4">
              <w:rPr>
                <w:b/>
                <w:sz w:val="24"/>
                <w:szCs w:val="24"/>
              </w:rPr>
              <w:t>10 300 000,00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B92A35" w:rsidRDefault="00CB0AE5" w:rsidP="00AD7E89">
            <w:pPr>
              <w:ind w:firstLine="0"/>
              <w:jc w:val="center"/>
              <w:rPr>
                <w:color w:val="000000" w:themeColor="text1"/>
              </w:rPr>
            </w:pPr>
            <w:r w:rsidRPr="00B92A35">
              <w:rPr>
                <w:b/>
                <w:i/>
                <w:color w:val="000000" w:themeColor="text1"/>
                <w:sz w:val="24"/>
              </w:rPr>
              <w:t>3,20</w:t>
            </w:r>
          </w:p>
        </w:tc>
      </w:tr>
      <w:tr w:rsidR="00CB0AE5" w:rsidRPr="00A967F1" w:rsidTr="00AD7E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Default="00CB0AE5" w:rsidP="00AD7E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12 589 455,57 руб. (цена без НДС: </w:t>
            </w:r>
            <w:r w:rsidRPr="005D11F4">
              <w:rPr>
                <w:b/>
                <w:sz w:val="24"/>
                <w:szCs w:val="24"/>
              </w:rPr>
              <w:t>10 669 030,14</w:t>
            </w:r>
            <w:r w:rsidRPr="005D11F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B92A35" w:rsidRDefault="00CB0AE5" w:rsidP="00AD7E89">
            <w:pPr>
              <w:ind w:firstLine="0"/>
              <w:jc w:val="center"/>
              <w:rPr>
                <w:color w:val="000000" w:themeColor="text1"/>
              </w:rPr>
            </w:pPr>
            <w:r w:rsidRPr="00B92A35">
              <w:rPr>
                <w:b/>
                <w:i/>
                <w:color w:val="000000" w:themeColor="text1"/>
                <w:sz w:val="24"/>
              </w:rPr>
              <w:t>3,20</w:t>
            </w:r>
          </w:p>
        </w:tc>
      </w:tr>
      <w:tr w:rsidR="00CB0AE5" w:rsidRPr="00A967F1" w:rsidTr="00AD7E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Default="00CB0AE5" w:rsidP="00AD7E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b/>
                <w:sz w:val="24"/>
                <w:szCs w:val="24"/>
              </w:rPr>
              <w:t>9 708 112,48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B92A35" w:rsidRDefault="00CB0AE5" w:rsidP="00AD7E89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3,00</w:t>
            </w:r>
          </w:p>
        </w:tc>
      </w:tr>
      <w:tr w:rsidR="00CB0AE5" w:rsidRPr="00A967F1" w:rsidTr="00AD7E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Default="00CB0AE5" w:rsidP="00AD7E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D11F4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 xml:space="preserve">11 564 000,00 руб. (цена без НДС: </w:t>
            </w:r>
            <w:r w:rsidRPr="005D11F4">
              <w:rPr>
                <w:b/>
                <w:sz w:val="24"/>
                <w:szCs w:val="24"/>
              </w:rPr>
              <w:t>9 800 000,00</w:t>
            </w:r>
            <w:r w:rsidRPr="005D11F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B92A35" w:rsidRDefault="00CB0AE5" w:rsidP="00AD7E89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1,10</w:t>
            </w:r>
          </w:p>
        </w:tc>
      </w:tr>
      <w:tr w:rsidR="00CB0AE5" w:rsidRPr="00A967F1" w:rsidTr="00AD7E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Default="00CB0AE5" w:rsidP="00AD7E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5D11F4" w:rsidRDefault="00CB0AE5" w:rsidP="00AD7E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11F4">
              <w:rPr>
                <w:sz w:val="24"/>
                <w:szCs w:val="24"/>
              </w:rPr>
              <w:t>подана 18.12.2016 в 12:05</w:t>
            </w:r>
            <w:r w:rsidRPr="005D11F4">
              <w:rPr>
                <w:sz w:val="24"/>
                <w:szCs w:val="24"/>
              </w:rPr>
              <w:br/>
              <w:t xml:space="preserve">Цена: </w:t>
            </w:r>
            <w:r w:rsidRPr="005D11F4">
              <w:rPr>
                <w:b/>
                <w:sz w:val="24"/>
                <w:szCs w:val="24"/>
              </w:rPr>
              <w:t>10 341 669,86</w:t>
            </w:r>
            <w:r w:rsidRPr="005D11F4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E5" w:rsidRPr="00B92A35" w:rsidRDefault="00CB0AE5" w:rsidP="00AD7E89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1,10</w:t>
            </w:r>
          </w:p>
        </w:tc>
      </w:tr>
    </w:tbl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CB0AE5" w:rsidRDefault="00CB0AE5" w:rsidP="00CB0AE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0AE5" w:rsidRPr="00E763D2" w:rsidRDefault="00CB0AE5" w:rsidP="00CB0AE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CB0AE5" w:rsidRPr="00E763D2" w:rsidRDefault="00CB0AE5" w:rsidP="00CB0AE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D11F4">
        <w:rPr>
          <w:sz w:val="24"/>
          <w:szCs w:val="24"/>
        </w:rPr>
        <w:t>ООО "ТЕХНОДИЗАЙН СЕРВИС" (680013, Россия, Хабаровский край, г. Хабаровск, ул. Ленинградская, д. 37, оф. 6)</w:t>
      </w:r>
      <w:r>
        <w:rPr>
          <w:sz w:val="24"/>
          <w:szCs w:val="24"/>
        </w:rPr>
        <w:t xml:space="preserve">, </w:t>
      </w:r>
      <w:r w:rsidRPr="005D11F4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sz w:val="24"/>
          <w:szCs w:val="24"/>
        </w:rPr>
        <w:t xml:space="preserve">, </w:t>
      </w:r>
      <w:r w:rsidRPr="005D11F4">
        <w:rPr>
          <w:sz w:val="24"/>
          <w:szCs w:val="24"/>
        </w:rPr>
        <w:t>ООО "</w:t>
      </w:r>
      <w:proofErr w:type="spellStart"/>
      <w:r w:rsidRPr="005D11F4">
        <w:rPr>
          <w:sz w:val="24"/>
          <w:szCs w:val="24"/>
        </w:rPr>
        <w:t>Сельэлектрострой</w:t>
      </w:r>
      <w:proofErr w:type="spellEnd"/>
      <w:r w:rsidRPr="005D11F4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5D11F4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 w:val="24"/>
          <w:szCs w:val="24"/>
        </w:rPr>
        <w:t xml:space="preserve">, </w:t>
      </w:r>
      <w:r w:rsidRPr="005D11F4">
        <w:rPr>
          <w:sz w:val="24"/>
          <w:szCs w:val="24"/>
        </w:rPr>
        <w:t>ООО "ГОРТРАНС</w:t>
      </w:r>
      <w:proofErr w:type="gramEnd"/>
      <w:r w:rsidRPr="005D11F4">
        <w:rPr>
          <w:sz w:val="24"/>
          <w:szCs w:val="24"/>
        </w:rPr>
        <w:t>" (</w:t>
      </w:r>
      <w:proofErr w:type="gramStart"/>
      <w:r w:rsidRPr="005D11F4">
        <w:rPr>
          <w:sz w:val="24"/>
          <w:szCs w:val="24"/>
        </w:rPr>
        <w:t>680014, Россия, г. Хабаровск, квартал ДОС, д. 4/16)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CB0AE5" w:rsidRPr="00E763D2" w:rsidRDefault="00CB0AE5" w:rsidP="00CB0AE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CB0AE5" w:rsidRPr="00E763D2" w:rsidRDefault="00CB0AE5" w:rsidP="00CB0AE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80443F">
        <w:rPr>
          <w:color w:val="000000" w:themeColor="text1"/>
          <w:sz w:val="24"/>
          <w:szCs w:val="24"/>
        </w:rPr>
        <w:t>02.02</w:t>
      </w:r>
      <w:r w:rsidRPr="00B92A35">
        <w:rPr>
          <w:color w:val="000000" w:themeColor="text1"/>
          <w:sz w:val="24"/>
          <w:szCs w:val="24"/>
        </w:rPr>
        <w:t xml:space="preserve">.2017 в 10:00 </w:t>
      </w:r>
      <w:r w:rsidRPr="00E763D2">
        <w:rPr>
          <w:color w:val="000000" w:themeColor="text1"/>
          <w:sz w:val="24"/>
          <w:szCs w:val="24"/>
        </w:rPr>
        <w:t>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CB0AE5" w:rsidRPr="00E763D2" w:rsidRDefault="00CB0AE5" w:rsidP="00CB0AE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CB0AE5" w:rsidRPr="00E763D2" w:rsidRDefault="00CB0AE5" w:rsidP="00CB0AE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B0AE5" w:rsidRDefault="00CB0AE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60" w:rsidRDefault="00D65E60" w:rsidP="00355095">
      <w:pPr>
        <w:spacing w:line="240" w:lineRule="auto"/>
      </w:pPr>
      <w:r>
        <w:separator/>
      </w:r>
    </w:p>
  </w:endnote>
  <w:endnote w:type="continuationSeparator" w:id="0">
    <w:p w:rsidR="00D65E60" w:rsidRDefault="00D65E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4F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4F3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60" w:rsidRDefault="00D65E60" w:rsidP="00355095">
      <w:pPr>
        <w:spacing w:line="240" w:lineRule="auto"/>
      </w:pPr>
      <w:r>
        <w:separator/>
      </w:r>
    </w:p>
  </w:footnote>
  <w:footnote w:type="continuationSeparator" w:id="0">
    <w:p w:rsidR="00D65E60" w:rsidRDefault="00D65E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CB0AE5">
      <w:rPr>
        <w:i/>
        <w:sz w:val="20"/>
      </w:rPr>
      <w:t xml:space="preserve">90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C16047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 w:numId="50">
    <w:abstractNumId w:val="4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5896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9B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43F"/>
    <w:rsid w:val="00804D26"/>
    <w:rsid w:val="00806B4F"/>
    <w:rsid w:val="00807ED5"/>
    <w:rsid w:val="008153CF"/>
    <w:rsid w:val="0081544F"/>
    <w:rsid w:val="00834F30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AE5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E6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043D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674CF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933F-DD08-45CC-AD99-ED1851A5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2017-01-17T04:48:00Z</cp:lastPrinted>
  <dcterms:created xsi:type="dcterms:W3CDTF">2016-12-27T05:07:00Z</dcterms:created>
  <dcterms:modified xsi:type="dcterms:W3CDTF">2017-01-31T05:09:00Z</dcterms:modified>
</cp:coreProperties>
</file>