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0D5C45">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0D5C45">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(п. Мирный)</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w:t>
      </w:r>
      <w:proofErr w:type="gramEnd"/>
      <w:r w:rsidRPr="007575E5">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0D5C45">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0D5C45">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1E0757" w:rsidP="001E0757">
      <w:pPr>
        <w:shd w:val="clear" w:color="auto" w:fill="FFFFFF"/>
        <w:tabs>
          <w:tab w:val="left" w:pos="0"/>
          <w:tab w:val="left" w:pos="142"/>
          <w:tab w:val="left" w:pos="993"/>
          <w:tab w:val="left" w:pos="1276"/>
          <w:tab w:val="left" w:pos="1418"/>
        </w:tabs>
        <w:ind w:left="709"/>
        <w:jc w:val="both"/>
        <w:rPr>
          <w:color w:val="0000FF"/>
        </w:rPr>
      </w:pPr>
      <w:r w:rsidRPr="003343AB">
        <w:rPr>
          <w:color w:val="0000FF"/>
        </w:rPr>
        <w:t>№16-</w:t>
      </w:r>
      <w:r>
        <w:rPr>
          <w:color w:val="0000FF"/>
        </w:rPr>
        <w:t xml:space="preserve">2163 от 01.06.16 (Ткаченко Е.М., </w:t>
      </w:r>
      <w:proofErr w:type="spellStart"/>
      <w:r w:rsidRPr="00D8484A">
        <w:rPr>
          <w:color w:val="0000FF"/>
        </w:rPr>
        <w:t>Надеждинский</w:t>
      </w:r>
      <w:proofErr w:type="spellEnd"/>
      <w:r w:rsidRPr="00D8484A">
        <w:rPr>
          <w:color w:val="0000FF"/>
        </w:rPr>
        <w:t xml:space="preserve"> р-н, п. Мирный, в 1427м. на юго-запад от ул. Садовая, 1-1</w:t>
      </w:r>
      <w:r>
        <w:rPr>
          <w:color w:val="0000FF"/>
        </w:rPr>
        <w:t>),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0D5C45">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0D5C45">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0D5C45">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0D5C45">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0D5C45">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0D5C45">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0D5C45">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0D5C45">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D5C45">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D5C45">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D5C45">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0D5C4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0D5C45">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D5C45">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0D5C45">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0D5C45">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0D5C4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0D5C4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0D5C45">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0D5C45">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0D5C45">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0D5C45">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0D5C45">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0D5C45">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0D5C45">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0D5C45">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0D5C45">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0D5C45">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0D5C45">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0D5C45">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5C45">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5C45">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0D5C45">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0D5C45">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0D5C45">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0D5C45">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0D5C45">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0D5C45">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0D5C4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0D5C4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0D5C45">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0D5C45">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0D5C45">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0D5C45">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0D5C45">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0D5C45">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0D5C45">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0D5C45">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0D5C45">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0D5C45">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0D5C45">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0D5C45">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0D5C45">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0D5C45">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0D5C45">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0D5C45">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0D5C45">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0D5C45">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0D5C45">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0D5C45">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0D5C45">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0D5C45">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0D5C45">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0D5C45">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0D5C45">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0D5C45">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0D5C45">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0D5C45">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0D5C45">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0D5C45">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0D5C45">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0D5C45">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0D5C45">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0D5C4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0D5C4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0D5C4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0D5C45">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0D5C45">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0D5C45">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0D5C45">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0D5C45">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0D5C45">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0D5C45">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0D5C45">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0D5C45">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0D5C45">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0D5C45">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0D5C45">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0D5C45">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0D5C45">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0D5C45">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0D5C45">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0D5C45">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0D5C45">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0D5C45">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0D5C45">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0D5C45">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0D5C45">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0D5C45">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0D5C45">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0D5C45">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0D5C45">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0D5C45">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0D5C4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0D5C4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0D5C4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0D5C4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0D5C4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0D5C45">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0D5C45">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0D5C45">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0D5C45">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0D5C45">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0D5C45">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0D5C45">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0D5C45">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0D5C45">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0D5C45">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0D5C45">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0D5C45">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0D5C45">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0D5C45">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0D5C45">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0D5C45">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0D5C45">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0D5C45">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0D5C45">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0D5C45">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0D5C45">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0D5C45">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0D5C45">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0D5C45">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0D5C45">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0D5C45">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0D5C45">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0D5C45">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0D5C45">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0D5C45">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7A71A1" w:rsidRPr="007A71A1" w:rsidRDefault="007A71A1" w:rsidP="007A71A1">
      <w:pPr>
        <w:ind w:firstLine="708"/>
        <w:jc w:val="center"/>
        <w:rPr>
          <w:sz w:val="28"/>
          <w:szCs w:val="28"/>
        </w:rPr>
      </w:pPr>
      <w:r w:rsidRPr="007A71A1">
        <w:rPr>
          <w:sz w:val="28"/>
          <w:szCs w:val="28"/>
        </w:rPr>
        <w:t xml:space="preserve">ТРЕБОВАНИЯ К БАНКУ-ГАРАНТУ </w:t>
      </w:r>
    </w:p>
    <w:p w:rsidR="007A71A1" w:rsidRPr="007A71A1" w:rsidRDefault="007A71A1" w:rsidP="007A71A1">
      <w:pPr>
        <w:jc w:val="both"/>
      </w:pPr>
      <w:r w:rsidRPr="007A71A1">
        <w:tab/>
      </w:r>
    </w:p>
    <w:p w:rsidR="007A71A1" w:rsidRPr="007A71A1" w:rsidRDefault="007A71A1" w:rsidP="007A71A1">
      <w:pPr>
        <w:jc w:val="both"/>
        <w:rPr>
          <w:sz w:val="28"/>
          <w:szCs w:val="28"/>
        </w:rPr>
      </w:pPr>
      <w:r w:rsidRPr="007A71A1">
        <w:t xml:space="preserve">        </w:t>
      </w:r>
      <w:r w:rsidRPr="007A71A1">
        <w:rPr>
          <w:sz w:val="28"/>
          <w:szCs w:val="28"/>
        </w:rPr>
        <w:t>Банк, выдавший гарантию, должен соответствовать следующим критериям:</w:t>
      </w:r>
    </w:p>
    <w:p w:rsidR="007A71A1" w:rsidRPr="007A71A1" w:rsidRDefault="007A71A1" w:rsidP="007A71A1">
      <w:pPr>
        <w:jc w:val="both"/>
        <w:rPr>
          <w:sz w:val="28"/>
          <w:szCs w:val="28"/>
        </w:rPr>
      </w:pPr>
      <w:r w:rsidRPr="007A71A1">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7A71A1" w:rsidRPr="007A71A1" w:rsidRDefault="007A71A1" w:rsidP="007A71A1">
      <w:pPr>
        <w:spacing w:before="20" w:after="20"/>
        <w:jc w:val="both"/>
        <w:rPr>
          <w:sz w:val="28"/>
          <w:szCs w:val="28"/>
        </w:rPr>
      </w:pPr>
      <w:r w:rsidRPr="007A71A1">
        <w:rPr>
          <w:sz w:val="28"/>
          <w:szCs w:val="28"/>
        </w:rPr>
        <w:t xml:space="preserve">        - входить в Перечень Банков-Гарантов, утвержденный Советом директоров Общества;</w:t>
      </w:r>
    </w:p>
    <w:p w:rsidR="007A71A1" w:rsidRPr="007A71A1" w:rsidRDefault="007A71A1" w:rsidP="007A71A1">
      <w:pPr>
        <w:shd w:val="clear" w:color="auto" w:fill="FFFFFF"/>
        <w:spacing w:before="20" w:after="20"/>
        <w:contextualSpacing/>
        <w:jc w:val="both"/>
        <w:rPr>
          <w:sz w:val="28"/>
          <w:szCs w:val="28"/>
        </w:rPr>
      </w:pPr>
      <w:r w:rsidRPr="007A71A1">
        <w:rPr>
          <w:sz w:val="28"/>
          <w:szCs w:val="28"/>
        </w:rPr>
        <w:t xml:space="preserve">        - участвовать в системе страхования вкладов;</w:t>
      </w:r>
    </w:p>
    <w:p w:rsidR="007A71A1" w:rsidRPr="007A71A1" w:rsidRDefault="007A71A1" w:rsidP="007A71A1">
      <w:pPr>
        <w:spacing w:before="20" w:after="20"/>
        <w:jc w:val="both"/>
        <w:rPr>
          <w:sz w:val="28"/>
          <w:szCs w:val="28"/>
        </w:rPr>
      </w:pPr>
      <w:r w:rsidRPr="007A71A1">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7A71A1">
        <w:rPr>
          <w:sz w:val="28"/>
          <w:szCs w:val="28"/>
        </w:rPr>
        <w:t xml:space="preserve"> ;</w:t>
      </w:r>
      <w:proofErr w:type="gramEnd"/>
    </w:p>
    <w:p w:rsidR="007A71A1" w:rsidRPr="007A71A1" w:rsidRDefault="007A71A1" w:rsidP="007A71A1">
      <w:pPr>
        <w:spacing w:before="20" w:after="20"/>
        <w:jc w:val="both"/>
        <w:rPr>
          <w:sz w:val="28"/>
          <w:szCs w:val="28"/>
        </w:rPr>
      </w:pPr>
      <w:r w:rsidRPr="007A71A1">
        <w:rPr>
          <w:sz w:val="28"/>
          <w:szCs w:val="28"/>
        </w:rPr>
        <w:t xml:space="preserve">       -  не быть убыточным</w:t>
      </w:r>
      <w:r w:rsidRPr="007A71A1">
        <w:rPr>
          <w:sz w:val="28"/>
          <w:szCs w:val="28"/>
          <w:vertAlign w:val="superscript"/>
        </w:rPr>
        <w:footnoteReference w:id="1"/>
      </w:r>
      <w:r w:rsidRPr="007A71A1">
        <w:rPr>
          <w:sz w:val="28"/>
          <w:szCs w:val="28"/>
        </w:rPr>
        <w:t>;</w:t>
      </w:r>
    </w:p>
    <w:p w:rsidR="007A71A1" w:rsidRPr="007A71A1" w:rsidRDefault="007A71A1" w:rsidP="007A71A1">
      <w:pPr>
        <w:spacing w:before="20" w:after="20"/>
        <w:jc w:val="both"/>
        <w:rPr>
          <w:sz w:val="28"/>
          <w:szCs w:val="28"/>
        </w:rPr>
      </w:pPr>
      <w:r w:rsidRPr="007A71A1">
        <w:rPr>
          <w:sz w:val="28"/>
          <w:szCs w:val="28"/>
        </w:rPr>
        <w:t xml:space="preserve">       -  не находиться под внешним управлением;</w:t>
      </w:r>
    </w:p>
    <w:p w:rsidR="007A71A1" w:rsidRPr="007A71A1" w:rsidRDefault="007A71A1" w:rsidP="007A71A1">
      <w:pPr>
        <w:spacing w:before="20" w:after="20"/>
        <w:jc w:val="both"/>
        <w:rPr>
          <w:sz w:val="28"/>
          <w:szCs w:val="28"/>
        </w:rPr>
      </w:pPr>
      <w:r w:rsidRPr="007A71A1">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7A71A1">
        <w:rPr>
          <w:sz w:val="28"/>
          <w:szCs w:val="28"/>
        </w:rPr>
        <w:br/>
        <w:t>или частично.</w:t>
      </w:r>
    </w:p>
    <w:p w:rsidR="007A71A1" w:rsidRPr="007A71A1" w:rsidRDefault="007A71A1" w:rsidP="007A71A1">
      <w:pPr>
        <w:spacing w:after="120"/>
        <w:jc w:val="both"/>
        <w:rPr>
          <w:sz w:val="28"/>
          <w:szCs w:val="28"/>
        </w:rPr>
      </w:pPr>
    </w:p>
    <w:p w:rsidR="007A71A1" w:rsidRPr="007A71A1" w:rsidRDefault="007A71A1" w:rsidP="007A71A1">
      <w:pPr>
        <w:tabs>
          <w:tab w:val="num" w:pos="540"/>
        </w:tabs>
        <w:spacing w:after="120"/>
        <w:jc w:val="center"/>
        <w:rPr>
          <w:sz w:val="28"/>
          <w:szCs w:val="28"/>
        </w:rPr>
      </w:pPr>
      <w:r w:rsidRPr="007A71A1">
        <w:rPr>
          <w:sz w:val="28"/>
          <w:szCs w:val="28"/>
        </w:rPr>
        <w:t>УСЛОВИЯ БАНКОВСКОЙ ГАРАНТИИ</w:t>
      </w:r>
    </w:p>
    <w:p w:rsidR="007A71A1" w:rsidRPr="007A71A1" w:rsidRDefault="007A71A1" w:rsidP="007A71A1">
      <w:pPr>
        <w:tabs>
          <w:tab w:val="num" w:pos="540"/>
        </w:tabs>
        <w:spacing w:before="20" w:after="20"/>
        <w:jc w:val="both"/>
        <w:rPr>
          <w:sz w:val="28"/>
          <w:szCs w:val="28"/>
        </w:rPr>
      </w:pPr>
      <w:r w:rsidRPr="007A71A1">
        <w:rPr>
          <w:sz w:val="28"/>
          <w:szCs w:val="28"/>
        </w:rPr>
        <w:t xml:space="preserve">         </w:t>
      </w:r>
      <w:proofErr w:type="gramStart"/>
      <w:r w:rsidRPr="007A71A1">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A71A1">
        <w:rPr>
          <w:sz w:val="28"/>
          <w:szCs w:val="28"/>
        </w:rPr>
        <w:t>Uniform</w:t>
      </w:r>
      <w:proofErr w:type="spellEnd"/>
      <w:r w:rsidRPr="007A71A1">
        <w:rPr>
          <w:sz w:val="28"/>
          <w:szCs w:val="28"/>
        </w:rPr>
        <w:t xml:space="preserve"> </w:t>
      </w:r>
      <w:proofErr w:type="spellStart"/>
      <w:r w:rsidRPr="007A71A1">
        <w:rPr>
          <w:sz w:val="28"/>
          <w:szCs w:val="28"/>
        </w:rPr>
        <w:t>Rules</w:t>
      </w:r>
      <w:proofErr w:type="spellEnd"/>
      <w:r w:rsidRPr="007A71A1">
        <w:rPr>
          <w:sz w:val="28"/>
          <w:szCs w:val="28"/>
        </w:rPr>
        <w:t xml:space="preserve"> </w:t>
      </w:r>
      <w:proofErr w:type="spellStart"/>
      <w:r w:rsidRPr="007A71A1">
        <w:rPr>
          <w:sz w:val="28"/>
          <w:szCs w:val="28"/>
        </w:rPr>
        <w:t>Demand</w:t>
      </w:r>
      <w:proofErr w:type="spellEnd"/>
      <w:r w:rsidRPr="007A71A1">
        <w:rPr>
          <w:sz w:val="28"/>
          <w:szCs w:val="28"/>
        </w:rPr>
        <w:t xml:space="preserve"> </w:t>
      </w:r>
      <w:proofErr w:type="spellStart"/>
      <w:r w:rsidRPr="007A71A1">
        <w:rPr>
          <w:sz w:val="28"/>
          <w:szCs w:val="28"/>
        </w:rPr>
        <w:t>Guarantees</w:t>
      </w:r>
      <w:proofErr w:type="spellEnd"/>
      <w:r w:rsidRPr="007A71A1">
        <w:rPr>
          <w:sz w:val="28"/>
          <w:szCs w:val="28"/>
        </w:rPr>
        <w:t xml:space="preserve"> – ICC </w:t>
      </w:r>
      <w:proofErr w:type="spellStart"/>
      <w:r w:rsidRPr="007A71A1">
        <w:rPr>
          <w:sz w:val="28"/>
          <w:szCs w:val="28"/>
        </w:rPr>
        <w:t>Publication</w:t>
      </w:r>
      <w:proofErr w:type="spellEnd"/>
      <w:r w:rsidRPr="007A71A1">
        <w:rPr>
          <w:sz w:val="28"/>
          <w:szCs w:val="28"/>
        </w:rPr>
        <w:t xml:space="preserve"> № 758) в той мере, </w:t>
      </w:r>
      <w:r w:rsidRPr="007A71A1">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7A71A1" w:rsidRPr="007A71A1" w:rsidRDefault="007A71A1" w:rsidP="007A71A1">
      <w:pPr>
        <w:spacing w:before="20" w:after="20"/>
        <w:jc w:val="both"/>
        <w:rPr>
          <w:sz w:val="28"/>
          <w:szCs w:val="28"/>
        </w:rPr>
      </w:pPr>
      <w:r w:rsidRPr="007A71A1">
        <w:rPr>
          <w:sz w:val="28"/>
          <w:szCs w:val="28"/>
        </w:rPr>
        <w:t xml:space="preserve">         - банковская гарантия должна быть безотзывной и безусловной (гарантия по первому требованию);</w:t>
      </w:r>
    </w:p>
    <w:p w:rsidR="007A71A1" w:rsidRPr="007A71A1" w:rsidRDefault="007A71A1" w:rsidP="007A71A1">
      <w:pPr>
        <w:spacing w:before="20" w:after="20"/>
        <w:jc w:val="both"/>
        <w:rPr>
          <w:sz w:val="28"/>
          <w:szCs w:val="28"/>
        </w:rPr>
      </w:pPr>
      <w:r w:rsidRPr="007A71A1">
        <w:rPr>
          <w:sz w:val="28"/>
          <w:szCs w:val="28"/>
        </w:rPr>
        <w:t xml:space="preserve">         - Бенефициаром по банковской гарантии должно выступать Общество, Принципалом – контрагент;</w:t>
      </w:r>
    </w:p>
    <w:p w:rsidR="007A71A1" w:rsidRPr="007A71A1" w:rsidRDefault="007A71A1" w:rsidP="007A71A1">
      <w:pPr>
        <w:spacing w:before="20" w:after="20"/>
        <w:jc w:val="both"/>
        <w:rPr>
          <w:sz w:val="28"/>
          <w:szCs w:val="28"/>
        </w:rPr>
      </w:pPr>
      <w:r w:rsidRPr="007A71A1">
        <w:rPr>
          <w:sz w:val="28"/>
          <w:szCs w:val="28"/>
        </w:rPr>
        <w:t xml:space="preserve">         - сумма банковской гарантии должна быть выражена в валюте расчетов по договору;</w:t>
      </w:r>
    </w:p>
    <w:p w:rsidR="007A71A1" w:rsidRPr="007A71A1" w:rsidRDefault="007A71A1" w:rsidP="007A71A1">
      <w:pPr>
        <w:spacing w:before="20" w:after="20"/>
        <w:jc w:val="both"/>
        <w:rPr>
          <w:sz w:val="28"/>
          <w:szCs w:val="28"/>
        </w:rPr>
      </w:pPr>
      <w:r w:rsidRPr="007A71A1">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7A71A1">
        <w:rPr>
          <w:vertAlign w:val="superscript"/>
        </w:rPr>
        <w:footnoteReference w:id="2"/>
      </w:r>
      <w:r w:rsidRPr="007A71A1">
        <w:rPr>
          <w:sz w:val="28"/>
          <w:szCs w:val="28"/>
        </w:rPr>
        <w:t>;</w:t>
      </w:r>
    </w:p>
    <w:p w:rsidR="007A71A1" w:rsidRPr="007A71A1" w:rsidRDefault="007A71A1" w:rsidP="007A71A1">
      <w:pPr>
        <w:spacing w:before="20" w:after="20"/>
        <w:jc w:val="both"/>
        <w:rPr>
          <w:sz w:val="28"/>
          <w:szCs w:val="28"/>
        </w:rPr>
      </w:pPr>
      <w:r w:rsidRPr="007A71A1">
        <w:rPr>
          <w:sz w:val="28"/>
          <w:szCs w:val="28"/>
        </w:rPr>
        <w:t xml:space="preserve">        - сумма банковской гарантии надлежащего исполнения договора должна составлять не менее 5%</w:t>
      </w:r>
      <w:r w:rsidRPr="007A71A1">
        <w:rPr>
          <w:vertAlign w:val="superscript"/>
        </w:rPr>
        <w:footnoteReference w:id="3"/>
      </w:r>
      <w:r w:rsidRPr="007A71A1">
        <w:rPr>
          <w:sz w:val="28"/>
          <w:szCs w:val="28"/>
        </w:rPr>
        <w:t>/10% от цены договора/объекта;</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7A71A1">
        <w:rPr>
          <w:sz w:val="28"/>
          <w:szCs w:val="28"/>
        </w:rPr>
        <w:br/>
      </w:r>
      <w:r w:rsidRPr="007A71A1">
        <w:rPr>
          <w:sz w:val="28"/>
          <w:szCs w:val="28"/>
        </w:rPr>
        <w:lastRenderedPageBreak/>
        <w:t>срок исполнения обязательств по договору (соответствующему этапу)/объекту/оборудования, предусмотренной договором.</w:t>
      </w:r>
    </w:p>
    <w:p w:rsidR="007A71A1" w:rsidRPr="007A71A1" w:rsidRDefault="007A71A1" w:rsidP="007A71A1">
      <w:pPr>
        <w:spacing w:before="20" w:after="20"/>
        <w:jc w:val="both"/>
        <w:rPr>
          <w:sz w:val="28"/>
          <w:szCs w:val="28"/>
        </w:rPr>
      </w:pPr>
      <w:r w:rsidRPr="007A71A1">
        <w:rPr>
          <w:sz w:val="28"/>
          <w:szCs w:val="28"/>
        </w:rPr>
        <w:t xml:space="preserve">        В банковской гарантии должно быть предусмотрено, что </w:t>
      </w:r>
      <w:r w:rsidRPr="007A71A1">
        <w:rPr>
          <w:sz w:val="28"/>
          <w:szCs w:val="28"/>
        </w:rPr>
        <w:br/>
        <w:t xml:space="preserve">для истребования суммы обеспечения Общество направляет Банку </w:t>
      </w:r>
      <w:proofErr w:type="gramStart"/>
      <w:r w:rsidRPr="007A71A1">
        <w:rPr>
          <w:sz w:val="28"/>
          <w:szCs w:val="28"/>
        </w:rPr>
        <w:t>-Г</w:t>
      </w:r>
      <w:proofErr w:type="gramEnd"/>
      <w:r w:rsidRPr="007A71A1">
        <w:rPr>
          <w:sz w:val="28"/>
          <w:szCs w:val="28"/>
        </w:rPr>
        <w:t xml:space="preserve">аранту только письменное требование о предъявлении суммы обеспечения, </w:t>
      </w:r>
      <w:r w:rsidRPr="007A71A1">
        <w:rPr>
          <w:sz w:val="28"/>
          <w:szCs w:val="28"/>
        </w:rPr>
        <w:br/>
        <w:t>как полностью, так и частично, к оплате, с указанием на существо допущенных контрагентом нарушений, в том числе в случаях:</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отказа контрагента от исполнения обязательств, в том числе одностороннего расторжения договора;</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нарушения контрагентом графика поставки (выполнения работ, оказания услуг) более чем на 60 календарных дней;</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 xml:space="preserve"> введения в отношении контрагента наблюдения или любой иной стадии процедуры банкротства;</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 xml:space="preserve">выявления фактов предъявления контрагентом Обществу ложной </w:t>
      </w:r>
      <w:r w:rsidRPr="007A71A1">
        <w:rPr>
          <w:sz w:val="28"/>
          <w:szCs w:val="28"/>
        </w:rPr>
        <w:br/>
        <w:t>или недостоверной информации на этапе проведения отбора, заключения договора и/или исполнения договора;</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признания сделки недействительной по причинам отсутствия необходимых корпоративных одобрений у контрагента;</w:t>
      </w:r>
    </w:p>
    <w:p w:rsidR="007A71A1" w:rsidRPr="007A71A1" w:rsidRDefault="007A71A1" w:rsidP="000D5C45">
      <w:pPr>
        <w:numPr>
          <w:ilvl w:val="0"/>
          <w:numId w:val="10"/>
        </w:numPr>
        <w:spacing w:before="20" w:after="20"/>
        <w:ind w:left="0" w:firstLine="567"/>
        <w:jc w:val="both"/>
        <w:rPr>
          <w:sz w:val="28"/>
          <w:szCs w:val="28"/>
        </w:rPr>
      </w:pPr>
      <w:r w:rsidRPr="007A71A1">
        <w:rPr>
          <w:sz w:val="28"/>
          <w:szCs w:val="28"/>
        </w:rPr>
        <w:t xml:space="preserve">не предоставления контрагентом в срок не </w:t>
      </w:r>
      <w:proofErr w:type="gramStart"/>
      <w:r w:rsidRPr="007A71A1">
        <w:rPr>
          <w:sz w:val="28"/>
          <w:szCs w:val="28"/>
        </w:rPr>
        <w:t>позднее</w:t>
      </w:r>
      <w:proofErr w:type="gramEnd"/>
      <w:r w:rsidRPr="007A71A1">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7A71A1" w:rsidRPr="007A71A1" w:rsidRDefault="007A71A1" w:rsidP="007A71A1">
      <w:pPr>
        <w:spacing w:before="20" w:after="20"/>
        <w:jc w:val="both"/>
        <w:rPr>
          <w:sz w:val="28"/>
          <w:szCs w:val="28"/>
        </w:rPr>
      </w:pPr>
      <w:r w:rsidRPr="007A71A1">
        <w:rPr>
          <w:sz w:val="28"/>
          <w:szCs w:val="28"/>
        </w:rPr>
        <w:t xml:space="preserve">        Вместе с требованием о предъявлении суммы обеспечения к оплате Общество направляет Банку-Гаранту копию</w:t>
      </w:r>
      <w:r w:rsidRPr="007A71A1">
        <w:rPr>
          <w:sz w:val="28"/>
          <w:szCs w:val="28"/>
          <w:vertAlign w:val="superscript"/>
        </w:rPr>
        <w:footnoteReference w:id="4"/>
      </w:r>
      <w:r w:rsidRPr="007A71A1">
        <w:rPr>
          <w:sz w:val="28"/>
          <w:szCs w:val="28"/>
        </w:rPr>
        <w:t xml:space="preserve"> банковской гарантии.</w:t>
      </w:r>
    </w:p>
    <w:p w:rsidR="007A71A1" w:rsidRPr="007A71A1" w:rsidRDefault="007A71A1" w:rsidP="007A71A1">
      <w:pPr>
        <w:spacing w:before="20" w:after="20"/>
        <w:jc w:val="both"/>
        <w:rPr>
          <w:sz w:val="28"/>
          <w:szCs w:val="28"/>
        </w:rPr>
      </w:pPr>
      <w:r w:rsidRPr="007A71A1">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7A71A1" w:rsidRPr="007A71A1" w:rsidRDefault="007A71A1" w:rsidP="007A71A1">
      <w:pPr>
        <w:spacing w:before="20" w:after="20"/>
        <w:jc w:val="both"/>
        <w:rPr>
          <w:sz w:val="28"/>
          <w:szCs w:val="28"/>
        </w:rPr>
      </w:pPr>
      <w:r w:rsidRPr="007A71A1">
        <w:rPr>
          <w:sz w:val="28"/>
          <w:szCs w:val="28"/>
        </w:rPr>
        <w:t xml:space="preserve">       Платеж по банковской гарантии должен быть совершен в течение </w:t>
      </w:r>
      <w:r w:rsidRPr="007A71A1">
        <w:rPr>
          <w:sz w:val="28"/>
          <w:szCs w:val="28"/>
        </w:rPr>
        <w:br/>
        <w:t>10  рабочих дней после обращения Бенефициара (Общества).</w:t>
      </w:r>
    </w:p>
    <w:p w:rsidR="007A71A1" w:rsidRPr="007A71A1" w:rsidRDefault="007A71A1" w:rsidP="007A71A1">
      <w:pPr>
        <w:spacing w:before="20" w:after="20"/>
        <w:jc w:val="both"/>
        <w:rPr>
          <w:sz w:val="28"/>
          <w:szCs w:val="28"/>
        </w:rPr>
      </w:pPr>
      <w:r w:rsidRPr="007A71A1">
        <w:rPr>
          <w:sz w:val="28"/>
          <w:szCs w:val="28"/>
        </w:rPr>
        <w:t xml:space="preserve">       В банковской гарантии не должно быть требований, противоречащих </w:t>
      </w:r>
      <w:proofErr w:type="gramStart"/>
      <w:r w:rsidRPr="007A71A1">
        <w:rPr>
          <w:sz w:val="28"/>
          <w:szCs w:val="28"/>
        </w:rPr>
        <w:t>изложенному</w:t>
      </w:r>
      <w:proofErr w:type="gramEnd"/>
      <w:r w:rsidRPr="007A71A1">
        <w:rPr>
          <w:sz w:val="28"/>
          <w:szCs w:val="28"/>
        </w:rPr>
        <w:t xml:space="preserve"> или делающих изложенное неисполнимым.</w:t>
      </w:r>
    </w:p>
    <w:p w:rsidR="007A71A1" w:rsidRPr="007A71A1" w:rsidRDefault="007A71A1" w:rsidP="007A71A1">
      <w:pPr>
        <w:spacing w:before="20" w:after="20"/>
        <w:jc w:val="both"/>
        <w:rPr>
          <w:sz w:val="28"/>
          <w:szCs w:val="28"/>
        </w:rPr>
      </w:pPr>
      <w:r w:rsidRPr="007A71A1">
        <w:rPr>
          <w:sz w:val="28"/>
          <w:szCs w:val="28"/>
        </w:rPr>
        <w:t xml:space="preserve">      Сумма гарантии</w:t>
      </w:r>
      <w:r w:rsidRPr="007A71A1">
        <w:rPr>
          <w:sz w:val="28"/>
          <w:szCs w:val="28"/>
          <w:vertAlign w:val="superscript"/>
        </w:rPr>
        <w:footnoteReference w:id="5"/>
      </w:r>
      <w:r w:rsidRPr="007A71A1">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7A71A1">
        <w:rPr>
          <w:sz w:val="28"/>
          <w:szCs w:val="28"/>
        </w:rPr>
        <w:br/>
        <w:t xml:space="preserve">по договору.   </w:t>
      </w:r>
    </w:p>
    <w:p w:rsidR="007A71A1" w:rsidRPr="007A71A1" w:rsidRDefault="007A71A1" w:rsidP="007A71A1">
      <w:pPr>
        <w:spacing w:before="20" w:after="20"/>
        <w:jc w:val="both"/>
        <w:rPr>
          <w:sz w:val="28"/>
          <w:szCs w:val="28"/>
        </w:rPr>
      </w:pPr>
      <w:r w:rsidRPr="007A71A1">
        <w:rPr>
          <w:sz w:val="28"/>
          <w:szCs w:val="28"/>
        </w:rPr>
        <w:lastRenderedPageBreak/>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7A71A1" w:rsidRPr="007A71A1" w:rsidRDefault="007A71A1" w:rsidP="007A71A1">
      <w:pPr>
        <w:spacing w:before="20" w:after="20"/>
        <w:jc w:val="both"/>
        <w:rPr>
          <w:sz w:val="28"/>
          <w:szCs w:val="28"/>
        </w:rPr>
      </w:pPr>
      <w:r w:rsidRPr="007A71A1">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7A71A1" w:rsidRPr="007A71A1" w:rsidRDefault="007A71A1" w:rsidP="007A71A1">
      <w:pPr>
        <w:spacing w:before="20" w:after="20"/>
        <w:jc w:val="both"/>
        <w:rPr>
          <w:sz w:val="28"/>
          <w:szCs w:val="28"/>
        </w:rPr>
      </w:pPr>
      <w:r w:rsidRPr="007A71A1">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7A71A1" w:rsidRPr="007A71A1" w:rsidRDefault="007A71A1" w:rsidP="007A71A1">
      <w:pPr>
        <w:ind w:firstLine="708"/>
        <w:jc w:val="center"/>
        <w:rPr>
          <w:sz w:val="20"/>
          <w:szCs w:val="20"/>
        </w:rPr>
      </w:pP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BCD" w:rsidRDefault="00746BCD" w:rsidP="00153E35">
      <w:r>
        <w:separator/>
      </w:r>
    </w:p>
  </w:endnote>
  <w:endnote w:type="continuationSeparator" w:id="0">
    <w:p w:rsidR="00746BCD" w:rsidRDefault="00746BC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BCD" w:rsidRDefault="00746BCD" w:rsidP="00153E35">
      <w:r>
        <w:separator/>
      </w:r>
    </w:p>
  </w:footnote>
  <w:footnote w:type="continuationSeparator" w:id="0">
    <w:p w:rsidR="00746BCD" w:rsidRDefault="00746BCD" w:rsidP="00153E35">
      <w:r>
        <w:continuationSeparator/>
      </w:r>
    </w:p>
  </w:footnote>
  <w:footnote w:id="1">
    <w:p w:rsidR="007A71A1" w:rsidRPr="00B65B32" w:rsidRDefault="007A71A1" w:rsidP="007A71A1">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A71A1" w:rsidRDefault="007A71A1" w:rsidP="007A71A1">
      <w:pPr>
        <w:pStyle w:val="af4"/>
      </w:pPr>
      <w:r>
        <w:rPr>
          <w:rStyle w:val="af6"/>
        </w:rPr>
        <w:footnoteRef/>
      </w:r>
      <w:r>
        <w:t xml:space="preserve"> Для банковской гарантии возврата авансового платежа.</w:t>
      </w:r>
    </w:p>
  </w:footnote>
  <w:footnote w:id="3">
    <w:p w:rsidR="007A71A1" w:rsidRDefault="007A71A1" w:rsidP="007A71A1">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7A71A1" w:rsidRDefault="007A71A1" w:rsidP="007A71A1">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A71A1" w:rsidRPr="005E3C01" w:rsidRDefault="007A71A1" w:rsidP="007A71A1">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D5C45"/>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46BCD"/>
    <w:rsid w:val="00750F99"/>
    <w:rsid w:val="00761E20"/>
    <w:rsid w:val="00775F6E"/>
    <w:rsid w:val="0078232F"/>
    <w:rsid w:val="00794187"/>
    <w:rsid w:val="00794FE9"/>
    <w:rsid w:val="0079698E"/>
    <w:rsid w:val="007A5A17"/>
    <w:rsid w:val="007A71A1"/>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0457"/>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02B94-7F3D-4AA0-9946-5B87D4ADB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11136</Words>
  <Characters>63479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74467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2016-09-12T01:53:00Z</cp:lastPrinted>
  <dcterms:created xsi:type="dcterms:W3CDTF">2016-09-12T01:56:00Z</dcterms:created>
  <dcterms:modified xsi:type="dcterms:W3CDTF">2016-09-12T01:56:00Z</dcterms:modified>
</cp:coreProperties>
</file>