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485F33" w:rsidRPr="00485F33">
        <w:rPr>
          <w:rFonts w:ascii="Times New Roman" w:hAnsi="Times New Roman" w:cs="Times New Roman"/>
          <w:b/>
          <w:sz w:val="24"/>
          <w:szCs w:val="24"/>
        </w:rPr>
        <w:t xml:space="preserve">п. Раздольное, п. Мирный, п. Кипарисово-2, урочище "Кипарисово" </w:t>
      </w:r>
      <w:bookmarkStart w:id="0" w:name="_GoBack"/>
      <w:bookmarkEnd w:id="0"/>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D4280"/>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C7831"/>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85F33"/>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3F7E"/>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C5B3-66C8-40EB-8239-6A36FAFF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9438</Words>
  <Characters>69286</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2016-06-14T03:55:00Z</dcterms:created>
  <dcterms:modified xsi:type="dcterms:W3CDTF">2016-06-14T03:55:00Z</dcterms:modified>
</cp:coreProperties>
</file>