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5353"/>
        <w:gridCol w:w="4217"/>
      </w:tblGrid>
      <w:tr w:rsidR="008D106E" w:rsidTr="008D106E">
        <w:trPr>
          <w:trHeight w:val="1418"/>
        </w:trPr>
        <w:tc>
          <w:tcPr>
            <w:tcW w:w="5353" w:type="dxa"/>
          </w:tcPr>
          <w:p w:rsidR="008D106E" w:rsidRDefault="008D106E">
            <w:pPr>
              <w:pStyle w:val="a9"/>
              <w:tabs>
                <w:tab w:val="left" w:pos="851"/>
                <w:tab w:val="left" w:pos="993"/>
              </w:tabs>
              <w:spacing w:line="228" w:lineRule="auto"/>
              <w:ind w:firstLine="426"/>
              <w:jc w:val="right"/>
              <w:rPr>
                <w:rFonts w:ascii="Times New Roman" w:hAnsi="Times New Roman" w:cs="Times New Roman"/>
                <w:sz w:val="24"/>
                <w:szCs w:val="24"/>
                <w:lang w:eastAsia="en-US"/>
              </w:rPr>
            </w:pPr>
          </w:p>
          <w:p w:rsidR="008D106E" w:rsidRDefault="008D106E">
            <w:pPr>
              <w:pStyle w:val="a9"/>
              <w:tabs>
                <w:tab w:val="left" w:pos="851"/>
                <w:tab w:val="left" w:pos="993"/>
              </w:tabs>
              <w:spacing w:line="228" w:lineRule="auto"/>
              <w:ind w:firstLine="426"/>
              <w:jc w:val="right"/>
              <w:rPr>
                <w:rFonts w:ascii="Times New Roman" w:hAnsi="Times New Roman" w:cs="Times New Roman"/>
                <w:sz w:val="24"/>
                <w:szCs w:val="24"/>
                <w:lang w:eastAsia="en-US"/>
              </w:rPr>
            </w:pPr>
          </w:p>
          <w:p w:rsidR="008D106E" w:rsidRDefault="008D106E">
            <w:pPr>
              <w:pStyle w:val="a9"/>
              <w:tabs>
                <w:tab w:val="left" w:pos="851"/>
                <w:tab w:val="left" w:pos="993"/>
              </w:tabs>
              <w:spacing w:line="228" w:lineRule="auto"/>
              <w:jc w:val="right"/>
              <w:rPr>
                <w:rFonts w:ascii="Times New Roman" w:hAnsi="Times New Roman" w:cs="Times New Roman"/>
                <w:b/>
                <w:bCs/>
                <w:sz w:val="24"/>
                <w:szCs w:val="24"/>
                <w:lang w:eastAsia="en-US"/>
              </w:rPr>
            </w:pPr>
          </w:p>
        </w:tc>
        <w:tc>
          <w:tcPr>
            <w:tcW w:w="4217" w:type="dxa"/>
            <w:hideMark/>
          </w:tcPr>
          <w:p w:rsidR="00432470" w:rsidRDefault="00432470">
            <w:pPr>
              <w:pStyle w:val="a9"/>
              <w:tabs>
                <w:tab w:val="left" w:pos="851"/>
                <w:tab w:val="left" w:pos="993"/>
              </w:tabs>
              <w:spacing w:line="228" w:lineRule="auto"/>
              <w:jc w:val="right"/>
              <w:rPr>
                <w:rFonts w:ascii="Times New Roman" w:eastAsia="Times New Roman" w:hAnsi="Times New Roman" w:cs="Times New Roman"/>
                <w:b/>
              </w:rPr>
            </w:pPr>
            <w:r w:rsidRPr="00432470">
              <w:rPr>
                <w:rFonts w:ascii="Times New Roman" w:eastAsia="Times New Roman" w:hAnsi="Times New Roman" w:cs="Times New Roman"/>
                <w:b/>
              </w:rPr>
              <w:t xml:space="preserve">ПРИЛОЖЕНИЕ </w:t>
            </w:r>
            <w:r w:rsidR="003F520A">
              <w:rPr>
                <w:rFonts w:ascii="Times New Roman" w:eastAsia="Times New Roman" w:hAnsi="Times New Roman" w:cs="Times New Roman"/>
                <w:b/>
              </w:rPr>
              <w:t>7</w:t>
            </w:r>
            <w:bookmarkStart w:id="0" w:name="_GoBack"/>
            <w:bookmarkEnd w:id="0"/>
          </w:p>
          <w:p w:rsidR="00432470" w:rsidRPr="00432470" w:rsidRDefault="00432470">
            <w:pPr>
              <w:pStyle w:val="a9"/>
              <w:tabs>
                <w:tab w:val="left" w:pos="851"/>
                <w:tab w:val="left" w:pos="993"/>
              </w:tabs>
              <w:spacing w:line="228" w:lineRule="auto"/>
              <w:jc w:val="right"/>
              <w:rPr>
                <w:rFonts w:ascii="Times New Roman" w:eastAsia="Times New Roman" w:hAnsi="Times New Roman" w:cs="Times New Roman"/>
                <w:b/>
              </w:rPr>
            </w:pPr>
          </w:p>
          <w:p w:rsidR="008D106E" w:rsidRDefault="00ED1B8D" w:rsidP="0040653C">
            <w:pPr>
              <w:pStyle w:val="a9"/>
              <w:tabs>
                <w:tab w:val="left" w:pos="851"/>
                <w:tab w:val="left" w:pos="993"/>
              </w:tabs>
              <w:spacing w:line="228" w:lineRule="auto"/>
              <w:jc w:val="right"/>
              <w:rPr>
                <w:rFonts w:ascii="Times New Roman" w:hAnsi="Times New Roman" w:cs="Times New Roman"/>
                <w:b/>
                <w:bCs/>
                <w:sz w:val="28"/>
                <w:szCs w:val="28"/>
                <w:lang w:eastAsia="en-US"/>
              </w:rPr>
            </w:pPr>
            <w:r w:rsidRPr="00694C15">
              <w:rPr>
                <w:rFonts w:ascii="Times New Roman" w:eastAsia="Times New Roman" w:hAnsi="Times New Roman" w:cs="Times New Roman"/>
              </w:rPr>
              <w:t xml:space="preserve">Приложение </w:t>
            </w:r>
            <w:r w:rsidRPr="00694C15">
              <w:rPr>
                <w:rFonts w:ascii="Times New Roman" w:eastAsia="Times New Roman" w:hAnsi="Times New Roman" w:cs="Times New Roman"/>
              </w:rPr>
              <w:br/>
              <w:t xml:space="preserve">к решению Совета директоров Общества </w:t>
            </w:r>
            <w:r w:rsidRPr="00694C15">
              <w:rPr>
                <w:rFonts w:ascii="Times New Roman" w:eastAsia="Times New Roman" w:hAnsi="Times New Roman" w:cs="Times New Roman"/>
              </w:rPr>
              <w:br/>
              <w:t xml:space="preserve">от </w:t>
            </w:r>
            <w:r w:rsidR="0040653C">
              <w:rPr>
                <w:rFonts w:ascii="Times New Roman" w:eastAsia="Times New Roman" w:hAnsi="Times New Roman" w:cs="Times New Roman"/>
              </w:rPr>
              <w:t>03.07.2015</w:t>
            </w:r>
            <w:r w:rsidRPr="00694C15">
              <w:rPr>
                <w:rFonts w:ascii="Times New Roman" w:eastAsia="Times New Roman" w:hAnsi="Times New Roman" w:cs="Times New Roman"/>
              </w:rPr>
              <w:t xml:space="preserve"> (протокол №</w:t>
            </w:r>
            <w:r w:rsidR="0040653C">
              <w:rPr>
                <w:rFonts w:ascii="Times New Roman" w:eastAsia="Times New Roman" w:hAnsi="Times New Roman" w:cs="Times New Roman"/>
              </w:rPr>
              <w:t>122</w:t>
            </w:r>
            <w:r w:rsidRPr="00694C15">
              <w:rPr>
                <w:rFonts w:ascii="Times New Roman" w:eastAsia="Times New Roman" w:hAnsi="Times New Roman" w:cs="Times New Roman"/>
              </w:rPr>
              <w:t xml:space="preserve"> от </w:t>
            </w:r>
            <w:r w:rsidR="0040653C">
              <w:rPr>
                <w:rFonts w:ascii="Times New Roman" w:eastAsia="Times New Roman" w:hAnsi="Times New Roman" w:cs="Times New Roman"/>
              </w:rPr>
              <w:t>06.07.2015</w:t>
            </w:r>
            <w:r w:rsidRPr="00694C15">
              <w:rPr>
                <w:rFonts w:ascii="Times New Roman" w:eastAsia="Times New Roman" w:hAnsi="Times New Roman" w:cs="Times New Roman"/>
              </w:rPr>
              <w:t>).</w:t>
            </w:r>
          </w:p>
        </w:tc>
      </w:tr>
      <w:tr w:rsidR="008D106E" w:rsidTr="008D106E">
        <w:trPr>
          <w:trHeight w:val="11330"/>
        </w:trPr>
        <w:tc>
          <w:tcPr>
            <w:tcW w:w="9570" w:type="dxa"/>
            <w:gridSpan w:val="2"/>
            <w:vAlign w:val="center"/>
            <w:hideMark/>
          </w:tcPr>
          <w:p w:rsidR="008D106E" w:rsidRDefault="008D106E">
            <w:pPr>
              <w:pStyle w:val="3"/>
              <w:tabs>
                <w:tab w:val="left" w:pos="851"/>
                <w:tab w:val="left" w:pos="993"/>
              </w:tabs>
              <w:spacing w:after="0" w:line="240" w:lineRule="auto"/>
              <w:ind w:firstLine="0"/>
              <w:jc w:val="center"/>
              <w:rPr>
                <w:sz w:val="28"/>
                <w:szCs w:val="28"/>
                <w:lang w:eastAsia="en-US"/>
              </w:rPr>
            </w:pPr>
            <w:r>
              <w:rPr>
                <w:sz w:val="28"/>
                <w:szCs w:val="28"/>
                <w:lang w:eastAsia="en-US"/>
              </w:rPr>
              <w:t>МЕТОДИКА</w:t>
            </w:r>
          </w:p>
          <w:p w:rsidR="004202BA" w:rsidRPr="004202BA" w:rsidRDefault="008D106E" w:rsidP="002863BC">
            <w:pPr>
              <w:pStyle w:val="3"/>
              <w:tabs>
                <w:tab w:val="left" w:pos="851"/>
                <w:tab w:val="left" w:pos="993"/>
              </w:tabs>
              <w:spacing w:after="0" w:line="240" w:lineRule="auto"/>
              <w:ind w:firstLine="426"/>
              <w:jc w:val="center"/>
              <w:rPr>
                <w:b/>
                <w:bCs/>
                <w:i/>
                <w:iCs/>
                <w:sz w:val="24"/>
                <w:szCs w:val="24"/>
                <w:lang w:eastAsia="en-US"/>
              </w:rPr>
            </w:pPr>
            <w:r>
              <w:rPr>
                <w:sz w:val="28"/>
                <w:szCs w:val="28"/>
                <w:lang w:eastAsia="en-US"/>
              </w:rPr>
              <w:t xml:space="preserve">оценки деловой репутации и финансового состояния участников закупочных процедур </w:t>
            </w:r>
            <w:r w:rsidR="0040653C">
              <w:rPr>
                <w:bCs/>
                <w:iCs/>
                <w:sz w:val="28"/>
                <w:szCs w:val="28"/>
                <w:lang w:eastAsia="en-US"/>
              </w:rPr>
              <w:t>ПАО «РАО ЭС Востока»</w:t>
            </w:r>
          </w:p>
        </w:tc>
      </w:tr>
      <w:tr w:rsidR="008D106E" w:rsidTr="008D106E">
        <w:trPr>
          <w:trHeight w:val="1125"/>
        </w:trPr>
        <w:tc>
          <w:tcPr>
            <w:tcW w:w="9570" w:type="dxa"/>
            <w:gridSpan w:val="2"/>
            <w:vAlign w:val="bottom"/>
            <w:hideMark/>
          </w:tcPr>
          <w:p w:rsidR="008D106E" w:rsidRDefault="008D106E">
            <w:pPr>
              <w:tabs>
                <w:tab w:val="left" w:pos="851"/>
                <w:tab w:val="left" w:pos="993"/>
              </w:tabs>
              <w:spacing w:line="276" w:lineRule="auto"/>
              <w:jc w:val="center"/>
              <w:rPr>
                <w:lang w:eastAsia="en-US"/>
              </w:rPr>
            </w:pPr>
            <w:r>
              <w:rPr>
                <w:sz w:val="28"/>
                <w:szCs w:val="28"/>
                <w:lang w:eastAsia="en-US"/>
              </w:rPr>
              <w:t>2015</w:t>
            </w:r>
          </w:p>
        </w:tc>
      </w:tr>
    </w:tbl>
    <w:p w:rsidR="008D106E" w:rsidRDefault="008D106E" w:rsidP="008D106E">
      <w:pPr>
        <w:tabs>
          <w:tab w:val="left" w:pos="851"/>
          <w:tab w:val="left" w:pos="993"/>
        </w:tabs>
        <w:ind w:firstLine="426"/>
        <w:jc w:val="center"/>
        <w:outlineLvl w:val="0"/>
        <w:rPr>
          <w:sz w:val="28"/>
          <w:szCs w:val="28"/>
        </w:rPr>
      </w:pPr>
      <w:r>
        <w:br w:type="page"/>
      </w:r>
      <w:r>
        <w:rPr>
          <w:sz w:val="28"/>
          <w:szCs w:val="28"/>
        </w:rPr>
        <w:lastRenderedPageBreak/>
        <w:t>ОГЛАВЛЕНИЕ</w:t>
      </w:r>
    </w:p>
    <w:p w:rsidR="008D106E" w:rsidRDefault="008D106E" w:rsidP="008D106E">
      <w:pPr>
        <w:tabs>
          <w:tab w:val="left" w:pos="851"/>
          <w:tab w:val="left" w:pos="993"/>
        </w:tabs>
        <w:ind w:firstLine="426"/>
        <w:rPr>
          <w:sz w:val="28"/>
          <w:szCs w:val="28"/>
        </w:rPr>
      </w:pPr>
    </w:p>
    <w:tbl>
      <w:tblPr>
        <w:tblW w:w="0" w:type="auto"/>
        <w:tblInd w:w="468" w:type="dxa"/>
        <w:tblLook w:val="04A0" w:firstRow="1" w:lastRow="0" w:firstColumn="1" w:lastColumn="0" w:noHBand="0" w:noVBand="1"/>
      </w:tblPr>
      <w:tblGrid>
        <w:gridCol w:w="534"/>
        <w:gridCol w:w="6477"/>
        <w:gridCol w:w="851"/>
      </w:tblGrid>
      <w:tr w:rsidR="008D106E" w:rsidTr="008D106E">
        <w:trPr>
          <w:trHeight w:val="491"/>
        </w:trPr>
        <w:tc>
          <w:tcPr>
            <w:tcW w:w="534" w:type="dxa"/>
            <w:hideMark/>
          </w:tcPr>
          <w:p w:rsidR="008D106E" w:rsidRDefault="008D106E">
            <w:pPr>
              <w:rPr>
                <w:rFonts w:ascii="Calibri" w:eastAsia="Calibri" w:hAnsi="Calibri"/>
                <w:sz w:val="20"/>
                <w:szCs w:val="20"/>
              </w:rPr>
            </w:pPr>
          </w:p>
        </w:tc>
        <w:tc>
          <w:tcPr>
            <w:tcW w:w="6477" w:type="dxa"/>
            <w:hideMark/>
          </w:tcPr>
          <w:p w:rsidR="008D106E" w:rsidRDefault="008D106E">
            <w:pPr>
              <w:pStyle w:val="a4"/>
            </w:pPr>
            <w:r>
              <w:t>Глоссарий</w:t>
            </w:r>
          </w:p>
        </w:tc>
        <w:tc>
          <w:tcPr>
            <w:tcW w:w="851" w:type="dxa"/>
            <w:hideMark/>
          </w:tcPr>
          <w:p w:rsidR="008D106E" w:rsidRDefault="008D106E">
            <w:pPr>
              <w:pStyle w:val="a4"/>
              <w:jc w:val="center"/>
            </w:pPr>
            <w:r>
              <w:t>3</w:t>
            </w:r>
          </w:p>
        </w:tc>
      </w:tr>
      <w:tr w:rsidR="008D106E" w:rsidTr="008D106E">
        <w:trPr>
          <w:trHeight w:val="424"/>
        </w:trPr>
        <w:tc>
          <w:tcPr>
            <w:tcW w:w="534" w:type="dxa"/>
            <w:hideMark/>
          </w:tcPr>
          <w:p w:rsidR="008D106E" w:rsidRDefault="008D106E">
            <w:pPr>
              <w:pStyle w:val="a4"/>
            </w:pPr>
            <w:r>
              <w:t>1</w:t>
            </w:r>
          </w:p>
        </w:tc>
        <w:tc>
          <w:tcPr>
            <w:tcW w:w="6477" w:type="dxa"/>
            <w:hideMark/>
          </w:tcPr>
          <w:p w:rsidR="008D106E" w:rsidRDefault="008D106E">
            <w:pPr>
              <w:pStyle w:val="a4"/>
            </w:pPr>
            <w:r>
              <w:t>Цели и область применения</w:t>
            </w:r>
          </w:p>
        </w:tc>
        <w:tc>
          <w:tcPr>
            <w:tcW w:w="851" w:type="dxa"/>
            <w:hideMark/>
          </w:tcPr>
          <w:p w:rsidR="008D106E" w:rsidRDefault="008D106E">
            <w:pPr>
              <w:pStyle w:val="a4"/>
              <w:jc w:val="center"/>
            </w:pPr>
            <w:r>
              <w:t>5</w:t>
            </w:r>
          </w:p>
        </w:tc>
      </w:tr>
      <w:tr w:rsidR="008D106E" w:rsidTr="008D106E">
        <w:trPr>
          <w:trHeight w:val="429"/>
        </w:trPr>
        <w:tc>
          <w:tcPr>
            <w:tcW w:w="534" w:type="dxa"/>
            <w:hideMark/>
          </w:tcPr>
          <w:p w:rsidR="008D106E" w:rsidRDefault="008D106E">
            <w:pPr>
              <w:pStyle w:val="a4"/>
            </w:pPr>
            <w:r>
              <w:t>2</w:t>
            </w:r>
          </w:p>
        </w:tc>
        <w:tc>
          <w:tcPr>
            <w:tcW w:w="6477" w:type="dxa"/>
            <w:hideMark/>
          </w:tcPr>
          <w:p w:rsidR="008D106E" w:rsidRDefault="008D106E">
            <w:pPr>
              <w:pStyle w:val="a4"/>
            </w:pPr>
            <w:r>
              <w:t>Порядок и сроки проведения проверки</w:t>
            </w:r>
          </w:p>
        </w:tc>
        <w:tc>
          <w:tcPr>
            <w:tcW w:w="851" w:type="dxa"/>
            <w:hideMark/>
          </w:tcPr>
          <w:p w:rsidR="008D106E" w:rsidRDefault="008D106E">
            <w:pPr>
              <w:pStyle w:val="a4"/>
              <w:jc w:val="center"/>
            </w:pPr>
            <w:r>
              <w:t>5</w:t>
            </w:r>
          </w:p>
        </w:tc>
      </w:tr>
      <w:tr w:rsidR="008D106E" w:rsidTr="008D106E">
        <w:trPr>
          <w:trHeight w:val="421"/>
        </w:trPr>
        <w:tc>
          <w:tcPr>
            <w:tcW w:w="534" w:type="dxa"/>
            <w:hideMark/>
          </w:tcPr>
          <w:p w:rsidR="008D106E" w:rsidRDefault="008D106E">
            <w:pPr>
              <w:pStyle w:val="a4"/>
            </w:pPr>
            <w:r>
              <w:t>3</w:t>
            </w:r>
          </w:p>
        </w:tc>
        <w:tc>
          <w:tcPr>
            <w:tcW w:w="6477" w:type="dxa"/>
            <w:hideMark/>
          </w:tcPr>
          <w:p w:rsidR="008D106E" w:rsidRDefault="008D106E">
            <w:pPr>
              <w:pStyle w:val="a4"/>
            </w:pPr>
            <w:r>
              <w:t>Оценка деловой репутации Участника</w:t>
            </w:r>
          </w:p>
        </w:tc>
        <w:tc>
          <w:tcPr>
            <w:tcW w:w="851" w:type="dxa"/>
            <w:hideMark/>
          </w:tcPr>
          <w:p w:rsidR="008D106E" w:rsidRDefault="008D106E">
            <w:pPr>
              <w:pStyle w:val="a4"/>
              <w:jc w:val="center"/>
            </w:pPr>
            <w:r>
              <w:t>5</w:t>
            </w:r>
          </w:p>
        </w:tc>
      </w:tr>
      <w:tr w:rsidR="008D106E" w:rsidTr="008D106E">
        <w:trPr>
          <w:trHeight w:val="419"/>
        </w:trPr>
        <w:tc>
          <w:tcPr>
            <w:tcW w:w="534" w:type="dxa"/>
            <w:hideMark/>
          </w:tcPr>
          <w:p w:rsidR="008D106E" w:rsidRDefault="008D106E">
            <w:pPr>
              <w:pStyle w:val="a4"/>
            </w:pPr>
            <w:r>
              <w:t>4</w:t>
            </w:r>
          </w:p>
        </w:tc>
        <w:tc>
          <w:tcPr>
            <w:tcW w:w="6477" w:type="dxa"/>
            <w:hideMark/>
          </w:tcPr>
          <w:p w:rsidR="008D106E" w:rsidRDefault="008D106E">
            <w:pPr>
              <w:pStyle w:val="a4"/>
            </w:pPr>
            <w:r>
              <w:t>Отборочные критерии</w:t>
            </w:r>
          </w:p>
        </w:tc>
        <w:tc>
          <w:tcPr>
            <w:tcW w:w="851" w:type="dxa"/>
            <w:hideMark/>
          </w:tcPr>
          <w:p w:rsidR="008D106E" w:rsidRDefault="008D106E">
            <w:pPr>
              <w:pStyle w:val="a4"/>
              <w:jc w:val="center"/>
              <w:rPr>
                <w:lang w:val="en-US"/>
              </w:rPr>
            </w:pPr>
            <w:r>
              <w:rPr>
                <w:lang w:val="en-US"/>
              </w:rPr>
              <w:t>6</w:t>
            </w:r>
          </w:p>
        </w:tc>
      </w:tr>
      <w:tr w:rsidR="008D106E" w:rsidTr="008D106E">
        <w:trPr>
          <w:trHeight w:val="439"/>
        </w:trPr>
        <w:tc>
          <w:tcPr>
            <w:tcW w:w="534" w:type="dxa"/>
            <w:hideMark/>
          </w:tcPr>
          <w:p w:rsidR="008D106E" w:rsidRDefault="008D106E">
            <w:pPr>
              <w:pStyle w:val="a4"/>
            </w:pPr>
            <w:r>
              <w:t>5</w:t>
            </w:r>
          </w:p>
        </w:tc>
        <w:tc>
          <w:tcPr>
            <w:tcW w:w="6477" w:type="dxa"/>
            <w:hideMark/>
          </w:tcPr>
          <w:p w:rsidR="008D106E" w:rsidRDefault="008D106E">
            <w:pPr>
              <w:pStyle w:val="a4"/>
            </w:pPr>
            <w:r>
              <w:t>Ограничительные факторы</w:t>
            </w:r>
          </w:p>
        </w:tc>
        <w:tc>
          <w:tcPr>
            <w:tcW w:w="851" w:type="dxa"/>
            <w:hideMark/>
          </w:tcPr>
          <w:p w:rsidR="008D106E" w:rsidRDefault="008D106E">
            <w:pPr>
              <w:pStyle w:val="a4"/>
              <w:jc w:val="center"/>
            </w:pPr>
            <w:r>
              <w:t>7</w:t>
            </w:r>
          </w:p>
        </w:tc>
      </w:tr>
      <w:tr w:rsidR="008D106E" w:rsidTr="008D106E">
        <w:trPr>
          <w:trHeight w:val="569"/>
        </w:trPr>
        <w:tc>
          <w:tcPr>
            <w:tcW w:w="534" w:type="dxa"/>
            <w:hideMark/>
          </w:tcPr>
          <w:p w:rsidR="008D106E" w:rsidRDefault="008D106E">
            <w:pPr>
              <w:pStyle w:val="a4"/>
            </w:pPr>
            <w:r>
              <w:t>6</w:t>
            </w:r>
          </w:p>
        </w:tc>
        <w:tc>
          <w:tcPr>
            <w:tcW w:w="6477" w:type="dxa"/>
            <w:hideMark/>
          </w:tcPr>
          <w:p w:rsidR="008D106E" w:rsidRDefault="008D106E">
            <w:pPr>
              <w:pStyle w:val="a4"/>
            </w:pPr>
            <w:r>
              <w:t>Оценка финансово-экономической устойчивости Участника</w:t>
            </w:r>
          </w:p>
        </w:tc>
        <w:tc>
          <w:tcPr>
            <w:tcW w:w="851" w:type="dxa"/>
            <w:hideMark/>
          </w:tcPr>
          <w:p w:rsidR="008D106E" w:rsidRPr="008D106E" w:rsidRDefault="008D106E">
            <w:pPr>
              <w:pStyle w:val="a4"/>
              <w:jc w:val="center"/>
            </w:pPr>
            <w:r w:rsidRPr="008D106E">
              <w:t>8</w:t>
            </w:r>
          </w:p>
        </w:tc>
      </w:tr>
      <w:tr w:rsidR="008D106E" w:rsidTr="008D106E">
        <w:tc>
          <w:tcPr>
            <w:tcW w:w="534" w:type="dxa"/>
            <w:hideMark/>
          </w:tcPr>
          <w:p w:rsidR="008D106E" w:rsidRDefault="008D106E">
            <w:pPr>
              <w:rPr>
                <w:rFonts w:ascii="Calibri" w:eastAsia="Calibri" w:hAnsi="Calibri"/>
                <w:sz w:val="20"/>
                <w:szCs w:val="20"/>
              </w:rPr>
            </w:pPr>
          </w:p>
        </w:tc>
        <w:tc>
          <w:tcPr>
            <w:tcW w:w="6477" w:type="dxa"/>
            <w:hideMark/>
          </w:tcPr>
          <w:p w:rsidR="008D106E" w:rsidRDefault="008D106E">
            <w:pPr>
              <w:pStyle w:val="a4"/>
            </w:pPr>
            <w:r>
              <w:t xml:space="preserve">Приложение </w:t>
            </w:r>
          </w:p>
        </w:tc>
        <w:tc>
          <w:tcPr>
            <w:tcW w:w="851" w:type="dxa"/>
            <w:hideMark/>
          </w:tcPr>
          <w:p w:rsidR="008D106E" w:rsidRDefault="008D106E">
            <w:pPr>
              <w:pStyle w:val="a4"/>
              <w:jc w:val="center"/>
            </w:pPr>
            <w:r>
              <w:t>14</w:t>
            </w:r>
          </w:p>
        </w:tc>
      </w:tr>
    </w:tbl>
    <w:p w:rsidR="008D106E" w:rsidRDefault="008D106E" w:rsidP="008D106E">
      <w:pPr>
        <w:pStyle w:val="11"/>
        <w:tabs>
          <w:tab w:val="left" w:pos="851"/>
          <w:tab w:val="left" w:pos="993"/>
        </w:tabs>
        <w:rPr>
          <w:b w:val="0"/>
          <w:szCs w:val="28"/>
        </w:rPr>
      </w:pPr>
    </w:p>
    <w:p w:rsidR="008D106E" w:rsidRDefault="008D106E" w:rsidP="008D106E">
      <w:pPr>
        <w:pStyle w:val="11"/>
        <w:tabs>
          <w:tab w:val="left" w:pos="851"/>
          <w:tab w:val="left" w:pos="993"/>
        </w:tabs>
        <w:ind w:firstLine="426"/>
        <w:rPr>
          <w:b w:val="0"/>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0"/>
        </w:tabs>
        <w:jc w:val="center"/>
        <w:rPr>
          <w:b/>
          <w:sz w:val="28"/>
          <w:szCs w:val="28"/>
        </w:rPr>
      </w:pPr>
      <w:r>
        <w:rPr>
          <w:b/>
        </w:rPr>
        <w:br w:type="page"/>
      </w:r>
      <w:r>
        <w:rPr>
          <w:b/>
          <w:sz w:val="28"/>
          <w:szCs w:val="28"/>
        </w:rPr>
        <w:lastRenderedPageBreak/>
        <w:t>Глоссарий</w:t>
      </w:r>
    </w:p>
    <w:p w:rsidR="008D106E" w:rsidRDefault="008D106E" w:rsidP="008D106E">
      <w:pPr>
        <w:tabs>
          <w:tab w:val="left" w:pos="0"/>
        </w:tabs>
        <w:jc w:val="center"/>
        <w:rPr>
          <w:b/>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 xml:space="preserve">Закупочная процедура - </w:t>
      </w:r>
      <w:r w:rsidR="00FE100F" w:rsidRPr="00FE100F">
        <w:rPr>
          <w:sz w:val="28"/>
          <w:szCs w:val="28"/>
        </w:rPr>
        <w:t>последовательность действий, осуществляемая в соответствии требованиями законодательства РФ, а также локальными нормативными актами Общества и правилами, установленными закупочной документацией (при ее наличии), в результате которой производится выбор поставщика с целью заключения договора о приобретении продукции</w:t>
      </w:r>
      <w:r>
        <w:rPr>
          <w:sz w:val="28"/>
          <w:szCs w:val="28"/>
        </w:rPr>
        <w:t>.</w:t>
      </w:r>
    </w:p>
    <w:p w:rsidR="008D106E" w:rsidRDefault="008D106E" w:rsidP="008D106E">
      <w:pPr>
        <w:tabs>
          <w:tab w:val="left" w:pos="851"/>
          <w:tab w:val="left" w:pos="993"/>
        </w:tabs>
        <w:spacing w:after="120"/>
        <w:ind w:firstLine="426"/>
        <w:jc w:val="both"/>
        <w:rPr>
          <w:sz w:val="28"/>
          <w:szCs w:val="28"/>
        </w:rPr>
      </w:pPr>
      <w:r>
        <w:rPr>
          <w:sz w:val="28"/>
          <w:szCs w:val="28"/>
        </w:rPr>
        <w:t xml:space="preserve">Общество (Заказчик) </w:t>
      </w:r>
      <w:r w:rsidR="00F54FA1">
        <w:rPr>
          <w:sz w:val="28"/>
          <w:szCs w:val="28"/>
        </w:rPr>
        <w:t>–</w:t>
      </w:r>
      <w:r w:rsidR="004202BA">
        <w:rPr>
          <w:sz w:val="28"/>
          <w:szCs w:val="28"/>
        </w:rPr>
        <w:t xml:space="preserve"> </w:t>
      </w:r>
      <w:r w:rsidR="0040653C">
        <w:rPr>
          <w:sz w:val="28"/>
          <w:szCs w:val="28"/>
        </w:rPr>
        <w:t>ПАО «РАО ЭС Востока»</w:t>
      </w:r>
      <w:r>
        <w:rPr>
          <w:sz w:val="28"/>
          <w:szCs w:val="28"/>
        </w:rPr>
        <w:t>.</w:t>
      </w:r>
    </w:p>
    <w:p w:rsidR="008D106E" w:rsidRDefault="008D106E" w:rsidP="008D106E">
      <w:pPr>
        <w:tabs>
          <w:tab w:val="left" w:pos="851"/>
          <w:tab w:val="left" w:pos="993"/>
        </w:tabs>
        <w:spacing w:after="120"/>
        <w:ind w:firstLine="426"/>
        <w:jc w:val="both"/>
        <w:rPr>
          <w:sz w:val="28"/>
          <w:szCs w:val="28"/>
        </w:rPr>
      </w:pPr>
      <w:r>
        <w:rPr>
          <w:sz w:val="28"/>
          <w:szCs w:val="28"/>
        </w:rPr>
        <w:t xml:space="preserve">Ограничивающий фактор - фактор, реализация которого может нести риски в части исполнения Контрагентом своих договорных обязательств в отношении Общества. Сочетание нескольких ограничивающих фактов может являться основанием для рекомендации к отклонению заявки Участника закупочной процедуры.  </w:t>
      </w:r>
    </w:p>
    <w:p w:rsidR="008D106E" w:rsidRDefault="008D106E" w:rsidP="008D106E">
      <w:pPr>
        <w:tabs>
          <w:tab w:val="left" w:pos="851"/>
          <w:tab w:val="left" w:pos="993"/>
        </w:tabs>
        <w:spacing w:after="120"/>
        <w:ind w:firstLine="426"/>
        <w:jc w:val="both"/>
        <w:rPr>
          <w:sz w:val="28"/>
          <w:szCs w:val="28"/>
        </w:rPr>
      </w:pPr>
      <w:r>
        <w:rPr>
          <w:sz w:val="28"/>
          <w:szCs w:val="28"/>
        </w:rPr>
        <w:t xml:space="preserve">Организатор Закупочной процедуры - </w:t>
      </w:r>
      <w:r w:rsidR="00FE100F" w:rsidRPr="00FE100F">
        <w:rPr>
          <w:sz w:val="28"/>
          <w:szCs w:val="28"/>
        </w:rPr>
        <w:t>Заказчик или действующее по договору с ним юридическое лицо, выступающие организатором закупки</w:t>
      </w:r>
      <w:r>
        <w:rPr>
          <w:sz w:val="28"/>
          <w:szCs w:val="28"/>
        </w:rPr>
        <w:t>.</w:t>
      </w:r>
    </w:p>
    <w:p w:rsidR="008D106E" w:rsidRDefault="008D106E" w:rsidP="008D106E">
      <w:pPr>
        <w:tabs>
          <w:tab w:val="left" w:pos="851"/>
          <w:tab w:val="left" w:pos="993"/>
        </w:tabs>
        <w:spacing w:after="120"/>
        <w:ind w:firstLine="426"/>
        <w:jc w:val="both"/>
        <w:rPr>
          <w:sz w:val="28"/>
          <w:szCs w:val="28"/>
        </w:rPr>
      </w:pPr>
      <w:r>
        <w:rPr>
          <w:sz w:val="28"/>
          <w:szCs w:val="28"/>
        </w:rPr>
        <w:t>Официальный сайт - официальный сайт Российской Федерации в сети Интернет для размещения информации о размещении заказов на поставки товаров, выполнении работ, оказании услуг (</w:t>
      </w:r>
      <w:r>
        <w:rPr>
          <w:sz w:val="28"/>
          <w:szCs w:val="28"/>
          <w:lang w:val="en-US"/>
        </w:rPr>
        <w:t>www</w:t>
      </w:r>
      <w:r>
        <w:rPr>
          <w:sz w:val="28"/>
          <w:szCs w:val="28"/>
        </w:rPr>
        <w:t>.</w:t>
      </w:r>
      <w:r>
        <w:rPr>
          <w:sz w:val="28"/>
          <w:szCs w:val="28"/>
          <w:lang w:val="en-US"/>
        </w:rPr>
        <w:t>zakupki</w:t>
      </w:r>
      <w:r>
        <w:rPr>
          <w:sz w:val="28"/>
          <w:szCs w:val="28"/>
        </w:rPr>
        <w:t>.</w:t>
      </w:r>
      <w:r>
        <w:rPr>
          <w:sz w:val="28"/>
          <w:szCs w:val="28"/>
          <w:lang w:val="en-US"/>
        </w:rPr>
        <w:t>gov</w:t>
      </w:r>
      <w:r>
        <w:rPr>
          <w:sz w:val="28"/>
          <w:szCs w:val="28"/>
        </w:rPr>
        <w:t>.</w:t>
      </w:r>
      <w:r>
        <w:rPr>
          <w:sz w:val="28"/>
          <w:szCs w:val="28"/>
          <w:lang w:val="en-US"/>
        </w:rPr>
        <w:t>ru</w:t>
      </w:r>
      <w:r>
        <w:rPr>
          <w:sz w:val="28"/>
          <w:szCs w:val="28"/>
        </w:rPr>
        <w:t>).</w:t>
      </w:r>
    </w:p>
    <w:p w:rsidR="008D106E" w:rsidRDefault="008D106E" w:rsidP="008D106E">
      <w:pPr>
        <w:tabs>
          <w:tab w:val="left" w:pos="851"/>
          <w:tab w:val="left" w:pos="993"/>
        </w:tabs>
        <w:spacing w:after="120"/>
        <w:ind w:firstLine="426"/>
        <w:jc w:val="both"/>
        <w:rPr>
          <w:sz w:val="28"/>
          <w:szCs w:val="28"/>
        </w:rPr>
      </w:pPr>
      <w:r>
        <w:rPr>
          <w:sz w:val="28"/>
          <w:szCs w:val="28"/>
        </w:rPr>
        <w:t>Участник закупочной процедуры (Участник) - юридическое/физическое лицо либо объединение лиц, явным образом принявшее участие в Закупочных процедурах.</w:t>
      </w:r>
    </w:p>
    <w:p w:rsidR="008D106E" w:rsidRDefault="008D106E" w:rsidP="008D106E">
      <w:pPr>
        <w:tabs>
          <w:tab w:val="left" w:pos="851"/>
          <w:tab w:val="left" w:pos="993"/>
        </w:tabs>
        <w:spacing w:after="120"/>
        <w:ind w:firstLine="426"/>
        <w:jc w:val="both"/>
        <w:rPr>
          <w:sz w:val="28"/>
          <w:szCs w:val="28"/>
        </w:rPr>
      </w:pPr>
      <w:r>
        <w:rPr>
          <w:sz w:val="28"/>
          <w:szCs w:val="28"/>
        </w:rPr>
        <w:t>Учредительные (регистрационные) документы - документы, служащие основанием для деятельности юридического лица; состав таких документов зависит от организационно-правовой формы юридического лица.</w:t>
      </w:r>
    </w:p>
    <w:p w:rsidR="008D106E" w:rsidRDefault="008D106E" w:rsidP="008D106E">
      <w:pPr>
        <w:tabs>
          <w:tab w:val="left" w:pos="851"/>
          <w:tab w:val="left" w:pos="993"/>
        </w:tabs>
        <w:spacing w:after="120"/>
        <w:ind w:firstLine="426"/>
        <w:jc w:val="both"/>
        <w:rPr>
          <w:sz w:val="28"/>
          <w:szCs w:val="28"/>
        </w:rPr>
      </w:pPr>
      <w:r>
        <w:rPr>
          <w:sz w:val="28"/>
          <w:szCs w:val="28"/>
        </w:rPr>
        <w:t>Фактор оценки - фактор, реализация которого может нести риски в части исполнения Контрагентом своих договорных обязательств в отношении          Общества и являться основанием для принятия решения об отклонении Участника  от оформления деловых отношений, как на этапе закупочных процедур, так и на этапе формирования или развития договорных отношений.</w:t>
      </w:r>
    </w:p>
    <w:p w:rsidR="008D106E" w:rsidRDefault="008D106E" w:rsidP="008D106E">
      <w:pPr>
        <w:tabs>
          <w:tab w:val="left" w:pos="851"/>
          <w:tab w:val="left" w:pos="993"/>
        </w:tabs>
        <w:spacing w:after="120"/>
        <w:ind w:firstLine="426"/>
        <w:jc w:val="both"/>
        <w:rPr>
          <w:sz w:val="28"/>
          <w:szCs w:val="28"/>
        </w:rPr>
      </w:pPr>
      <w:r>
        <w:rPr>
          <w:sz w:val="28"/>
          <w:szCs w:val="28"/>
        </w:rPr>
        <w:t>Финансовое состояние - состояние Участника закупочной процедуры, характеризуемое наличием у него финансовых ресурсов и обеспеченностью средствами, необходимыми для поддержания нормального режима функционирования и осуществления беспрерывных денежных расчетов с Обществом.</w:t>
      </w:r>
    </w:p>
    <w:p w:rsidR="008D106E" w:rsidRPr="009B3E97" w:rsidRDefault="008D106E" w:rsidP="008D106E">
      <w:pPr>
        <w:tabs>
          <w:tab w:val="left" w:pos="851"/>
          <w:tab w:val="left" w:pos="993"/>
        </w:tabs>
        <w:spacing w:after="120"/>
        <w:ind w:firstLine="426"/>
        <w:jc w:val="both"/>
        <w:rPr>
          <w:color w:val="FF0000"/>
          <w:sz w:val="28"/>
          <w:szCs w:val="28"/>
        </w:rPr>
      </w:pPr>
      <w:r>
        <w:rPr>
          <w:sz w:val="28"/>
          <w:szCs w:val="28"/>
        </w:rPr>
        <w:t xml:space="preserve">Эксперт по безопасности </w:t>
      </w:r>
      <w:r w:rsidR="009B3E97">
        <w:rPr>
          <w:sz w:val="28"/>
          <w:szCs w:val="28"/>
        </w:rPr>
        <w:t xml:space="preserve">– </w:t>
      </w:r>
      <w:r w:rsidR="00CE0549" w:rsidRPr="00825D02">
        <w:rPr>
          <w:sz w:val="28"/>
          <w:szCs w:val="28"/>
        </w:rPr>
        <w:t>работник Департамента экономической безопасности.</w:t>
      </w:r>
    </w:p>
    <w:p w:rsidR="008D106E" w:rsidRDefault="008D106E" w:rsidP="008D106E">
      <w:pPr>
        <w:numPr>
          <w:ilvl w:val="0"/>
          <w:numId w:val="32"/>
        </w:numPr>
        <w:tabs>
          <w:tab w:val="left" w:pos="851"/>
          <w:tab w:val="left" w:pos="993"/>
        </w:tabs>
        <w:spacing w:after="120"/>
        <w:jc w:val="center"/>
        <w:rPr>
          <w:b/>
          <w:sz w:val="28"/>
          <w:szCs w:val="28"/>
        </w:rPr>
      </w:pPr>
      <w:r>
        <w:rPr>
          <w:sz w:val="28"/>
          <w:szCs w:val="28"/>
        </w:rPr>
        <w:br w:type="page"/>
      </w:r>
      <w:r>
        <w:rPr>
          <w:b/>
          <w:sz w:val="28"/>
          <w:szCs w:val="28"/>
        </w:rPr>
        <w:lastRenderedPageBreak/>
        <w:t>Цели и область применения</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Настоящая Методика применяется в целях оценки деловой репутации и финансового состояния Участников закупочных процедур.</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При оценке деловой репутации Участника закупочных процедур в соответствии с настоящей Методикой определяется его соответствие/несоответствие требованиям к деловой репутации.</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При оценке финансового состояния Участника закупочных процедур в соответствии с настоящей Методикой определяется его соответствие/несоответствие требованиям к финансовому состоянию.</w:t>
      </w:r>
    </w:p>
    <w:p w:rsidR="008D106E" w:rsidRDefault="008D106E" w:rsidP="008D106E">
      <w:pPr>
        <w:tabs>
          <w:tab w:val="left" w:pos="993"/>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Порядок проведения проверки</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Оценка деловой репутации и финансово-экономической устойчивости Участника  закупочной процедуры  проводится экспертом по безопасности в ходе проведения закупочных процедур.</w:t>
      </w:r>
    </w:p>
    <w:p w:rsidR="008D106E" w:rsidRDefault="008D106E" w:rsidP="008D106E">
      <w:pPr>
        <w:numPr>
          <w:ilvl w:val="1"/>
          <w:numId w:val="32"/>
        </w:numPr>
        <w:tabs>
          <w:tab w:val="left" w:pos="993"/>
        </w:tabs>
        <w:spacing w:after="120"/>
        <w:ind w:left="0" w:firstLine="426"/>
        <w:jc w:val="both"/>
        <w:rPr>
          <w:sz w:val="28"/>
          <w:szCs w:val="28"/>
        </w:rPr>
      </w:pPr>
      <w:r>
        <w:rPr>
          <w:sz w:val="28"/>
          <w:szCs w:val="28"/>
        </w:rPr>
        <w:t xml:space="preserve">Оценка, указанная в пункте 2.1. настоящего Положения, проводится на основании следующих документов Участника закупочной процедуры: </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учредительных и регистрационных документов;</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 xml:space="preserve">документов финансовой отчетности (в том числе копии бухгалтерской (финансовой) отчетности </w:t>
      </w:r>
      <w:proofErr w:type="gramStart"/>
      <w:r>
        <w:rPr>
          <w:sz w:val="28"/>
          <w:szCs w:val="28"/>
        </w:rPr>
        <w:t>за</w:t>
      </w:r>
      <w:proofErr w:type="gramEnd"/>
      <w:r>
        <w:rPr>
          <w:sz w:val="28"/>
          <w:szCs w:val="28"/>
        </w:rPr>
        <w:t xml:space="preserve"> последние 3 года)</w:t>
      </w:r>
      <w:r w:rsidR="00061F3C">
        <w:rPr>
          <w:rStyle w:val="ae"/>
          <w:sz w:val="28"/>
          <w:szCs w:val="28"/>
        </w:rPr>
        <w:footnoteReference w:id="1"/>
      </w:r>
      <w:r>
        <w:rPr>
          <w:sz w:val="28"/>
          <w:szCs w:val="28"/>
        </w:rPr>
        <w:t>;</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типовых форм документов, заполненных в соответствии с требованиями закупочной документации.</w:t>
      </w:r>
    </w:p>
    <w:p w:rsidR="008D106E" w:rsidRDefault="008D106E" w:rsidP="008D106E">
      <w:pPr>
        <w:tabs>
          <w:tab w:val="left" w:pos="0"/>
          <w:tab w:val="left" w:pos="851"/>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 xml:space="preserve">Оценка деловой репутации Участника </w:t>
      </w:r>
    </w:p>
    <w:p w:rsidR="008D106E" w:rsidRDefault="008D106E" w:rsidP="008D106E">
      <w:pPr>
        <w:numPr>
          <w:ilvl w:val="1"/>
          <w:numId w:val="32"/>
        </w:numPr>
        <w:tabs>
          <w:tab w:val="left" w:pos="993"/>
        </w:tabs>
        <w:spacing w:after="120"/>
        <w:ind w:left="0" w:firstLine="426"/>
        <w:jc w:val="both"/>
        <w:rPr>
          <w:sz w:val="28"/>
          <w:szCs w:val="28"/>
        </w:rPr>
      </w:pPr>
      <w:r>
        <w:rPr>
          <w:sz w:val="28"/>
          <w:szCs w:val="28"/>
        </w:rPr>
        <w:t xml:space="preserve">В рамках проведения оценки деловой репутации экспертом по безопасности принимается решение о степени вероятности выполнения Участником своих договорных обязательств, а также степени риска. </w:t>
      </w:r>
    </w:p>
    <w:p w:rsidR="008D106E" w:rsidRDefault="008D106E" w:rsidP="008D106E">
      <w:pPr>
        <w:tabs>
          <w:tab w:val="left" w:pos="993"/>
        </w:tabs>
        <w:spacing w:after="120"/>
        <w:ind w:firstLine="426"/>
        <w:jc w:val="both"/>
        <w:rPr>
          <w:sz w:val="28"/>
          <w:szCs w:val="28"/>
        </w:rPr>
      </w:pPr>
      <w:r>
        <w:rPr>
          <w:sz w:val="28"/>
          <w:szCs w:val="28"/>
        </w:rPr>
        <w:t>Участник, заключение договора с которым характеризуются высокой степенью риска (несоответствующий критериям настоящей Методики) для Общества, должен быть рекомендован к отклонению.</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В качестве критериев оценки деловой репутации используются:</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отборочные критерии;</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ограничивающие факторы, являющиеся отрицательными, но не критичными показателями финансово-хозяйственной деятельности Участника.</w:t>
      </w:r>
    </w:p>
    <w:p w:rsidR="008D106E" w:rsidRDefault="008D106E" w:rsidP="008D106E">
      <w:pPr>
        <w:tabs>
          <w:tab w:val="left" w:pos="0"/>
          <w:tab w:val="left" w:pos="851"/>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Отборочные критерии</w:t>
      </w:r>
    </w:p>
    <w:p w:rsidR="008D106E" w:rsidRDefault="008D106E" w:rsidP="008D106E">
      <w:pPr>
        <w:pStyle w:val="a4"/>
        <w:numPr>
          <w:ilvl w:val="1"/>
          <w:numId w:val="32"/>
        </w:numPr>
        <w:tabs>
          <w:tab w:val="left" w:pos="1134"/>
        </w:tabs>
        <w:ind w:left="0" w:firstLine="426"/>
        <w:jc w:val="both"/>
        <w:rPr>
          <w:sz w:val="28"/>
          <w:szCs w:val="28"/>
        </w:rPr>
      </w:pPr>
      <w:r>
        <w:rPr>
          <w:sz w:val="28"/>
          <w:szCs w:val="28"/>
        </w:rPr>
        <w:t>Отборочные критерии используются для принятия решения о соответствии/несоответствии Участника требованиям к деловой репутации.</w:t>
      </w:r>
    </w:p>
    <w:p w:rsidR="008D106E" w:rsidRDefault="008D106E" w:rsidP="008D106E">
      <w:pPr>
        <w:pStyle w:val="a4"/>
        <w:ind w:firstLine="426"/>
        <w:jc w:val="both"/>
        <w:rPr>
          <w:sz w:val="28"/>
          <w:szCs w:val="28"/>
        </w:rPr>
      </w:pPr>
      <w:r>
        <w:rPr>
          <w:sz w:val="28"/>
          <w:szCs w:val="28"/>
        </w:rPr>
        <w:t xml:space="preserve">Участник, не соответствующий хотя бы одному из отборочных критериев, должен быть рекомендован к отклонению. </w:t>
      </w:r>
    </w:p>
    <w:p w:rsidR="008D106E" w:rsidRDefault="008D106E" w:rsidP="008D106E">
      <w:pPr>
        <w:pStyle w:val="a4"/>
        <w:numPr>
          <w:ilvl w:val="1"/>
          <w:numId w:val="32"/>
        </w:numPr>
        <w:tabs>
          <w:tab w:val="left" w:pos="1134"/>
        </w:tabs>
        <w:ind w:left="0" w:firstLine="426"/>
        <w:jc w:val="both"/>
        <w:rPr>
          <w:sz w:val="28"/>
          <w:szCs w:val="28"/>
        </w:rPr>
      </w:pPr>
      <w:r>
        <w:rPr>
          <w:sz w:val="28"/>
          <w:szCs w:val="28"/>
        </w:rPr>
        <w:t>Для принятия решения о соответствии Участника отборочному критерию используется следующий перечень:</w:t>
      </w:r>
    </w:p>
    <w:p w:rsidR="008D106E" w:rsidRDefault="008D106E" w:rsidP="008D106E">
      <w:pPr>
        <w:pStyle w:val="a"/>
        <w:numPr>
          <w:ilvl w:val="0"/>
          <w:numId w:val="17"/>
        </w:numPr>
        <w:tabs>
          <w:tab w:val="left" w:pos="709"/>
          <w:tab w:val="left" w:pos="993"/>
          <w:tab w:val="left" w:pos="1134"/>
        </w:tabs>
        <w:spacing w:after="120" w:line="240" w:lineRule="auto"/>
        <w:ind w:left="0" w:firstLine="567"/>
        <w:rPr>
          <w:szCs w:val="28"/>
        </w:rPr>
      </w:pPr>
      <w:r>
        <w:rPr>
          <w:szCs w:val="28"/>
        </w:rPr>
        <w:t>Отсутствие сведения об Участнике в разделе «Реестр недобросовестных поставщиков», размещенном на Официальном сайте.</w:t>
      </w:r>
    </w:p>
    <w:p w:rsidR="008D106E" w:rsidRDefault="008D106E" w:rsidP="008D106E">
      <w:pPr>
        <w:pStyle w:val="a"/>
        <w:numPr>
          <w:ilvl w:val="0"/>
          <w:numId w:val="17"/>
        </w:numPr>
        <w:tabs>
          <w:tab w:val="left" w:pos="709"/>
          <w:tab w:val="left" w:pos="993"/>
          <w:tab w:val="left" w:pos="1134"/>
        </w:tabs>
        <w:spacing w:after="120" w:line="240" w:lineRule="auto"/>
        <w:ind w:left="0" w:firstLine="567"/>
        <w:rPr>
          <w:szCs w:val="28"/>
        </w:rPr>
      </w:pPr>
      <w:r>
        <w:rPr>
          <w:szCs w:val="28"/>
        </w:rPr>
        <w:t>Участник не должен являться банкротом</w:t>
      </w:r>
      <w:r w:rsidR="00061F3C">
        <w:rPr>
          <w:rStyle w:val="ae"/>
          <w:szCs w:val="28"/>
        </w:rPr>
        <w:footnoteReference w:id="2"/>
      </w:r>
      <w:r>
        <w:rPr>
          <w:szCs w:val="28"/>
        </w:rPr>
        <w:t xml:space="preserve"> или иметь признаки банкротства</w:t>
      </w:r>
      <w:r>
        <w:rPr>
          <w:rStyle w:val="ae"/>
          <w:szCs w:val="28"/>
        </w:rPr>
        <w:footnoteReference w:id="3"/>
      </w:r>
      <w:r>
        <w:rPr>
          <w:szCs w:val="28"/>
        </w:rPr>
        <w:t xml:space="preserve">, находиться в процессе ликвидации. Экономическая деятельность Участника Закупочной процедуры не должна быть приостановлена. </w:t>
      </w:r>
    </w:p>
    <w:p w:rsidR="008D106E" w:rsidRDefault="008E5E40" w:rsidP="008D106E">
      <w:pPr>
        <w:pStyle w:val="a"/>
        <w:numPr>
          <w:ilvl w:val="0"/>
          <w:numId w:val="17"/>
        </w:numPr>
        <w:tabs>
          <w:tab w:val="left" w:pos="709"/>
          <w:tab w:val="left" w:pos="993"/>
          <w:tab w:val="left" w:pos="1134"/>
        </w:tabs>
        <w:spacing w:after="120" w:line="240" w:lineRule="auto"/>
        <w:ind w:left="0" w:firstLine="567"/>
        <w:rPr>
          <w:szCs w:val="28"/>
        </w:rPr>
      </w:pPr>
      <w:r w:rsidRPr="00F17DA1">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8D106E">
        <w:rPr>
          <w:szCs w:val="28"/>
        </w:rPr>
        <w:t>.</w:t>
      </w:r>
    </w:p>
    <w:p w:rsidR="008D106E" w:rsidRDefault="008D106E" w:rsidP="008D106E">
      <w:pPr>
        <w:numPr>
          <w:ilvl w:val="0"/>
          <w:numId w:val="17"/>
        </w:numPr>
        <w:tabs>
          <w:tab w:val="left" w:pos="993"/>
        </w:tabs>
        <w:spacing w:after="120"/>
        <w:ind w:left="0" w:firstLine="567"/>
        <w:jc w:val="both"/>
        <w:rPr>
          <w:sz w:val="28"/>
          <w:szCs w:val="28"/>
        </w:rPr>
      </w:pPr>
      <w:r>
        <w:rPr>
          <w:sz w:val="28"/>
          <w:szCs w:val="28"/>
        </w:rPr>
        <w:t xml:space="preserve">Отсутствие аффилированности Участника Закупочной процедуры по отношению к одному и более другим Участникам конкурса (наличие аффилированности определяется в соответствии с антимонопольным законодательством Российской Федерации). </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Отсутствие оснований предполагать о существовании между Участниками согласованных действий с целью повлиять на определение выбора победителя Закупочной процедуры.</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Раскрытие Участником информации обо всей цепочке собственников, включая бенефициаров (в т.ч. конечных)</w:t>
      </w:r>
      <w:r>
        <w:rPr>
          <w:rStyle w:val="ae"/>
          <w:sz w:val="28"/>
          <w:szCs w:val="28"/>
        </w:rPr>
        <w:footnoteReference w:id="4"/>
      </w:r>
      <w:r>
        <w:rPr>
          <w:sz w:val="28"/>
          <w:szCs w:val="28"/>
        </w:rPr>
        <w:t>;</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разделом 6 настоящей Методики.</w:t>
      </w:r>
    </w:p>
    <w:p w:rsidR="00E9687C" w:rsidRDefault="003331E7" w:rsidP="008D106E">
      <w:pPr>
        <w:numPr>
          <w:ilvl w:val="0"/>
          <w:numId w:val="17"/>
        </w:numPr>
        <w:tabs>
          <w:tab w:val="left" w:pos="567"/>
          <w:tab w:val="left" w:pos="709"/>
          <w:tab w:val="left" w:pos="993"/>
        </w:tabs>
        <w:spacing w:after="120"/>
        <w:ind w:left="0" w:firstLine="567"/>
        <w:jc w:val="both"/>
        <w:rPr>
          <w:sz w:val="28"/>
          <w:szCs w:val="28"/>
        </w:rPr>
      </w:pPr>
      <w:r>
        <w:rPr>
          <w:sz w:val="28"/>
          <w:szCs w:val="28"/>
        </w:rPr>
        <w:lastRenderedPageBreak/>
        <w:t>Отсутствие в представленных</w:t>
      </w:r>
      <w:r w:rsidR="00E9687C">
        <w:rPr>
          <w:sz w:val="28"/>
          <w:szCs w:val="28"/>
        </w:rPr>
        <w:t xml:space="preserve"> Участником</w:t>
      </w:r>
      <w:r>
        <w:rPr>
          <w:sz w:val="28"/>
          <w:szCs w:val="28"/>
        </w:rPr>
        <w:t xml:space="preserve"> данных</w:t>
      </w:r>
      <w:r w:rsidR="00E9687C">
        <w:rPr>
          <w:sz w:val="28"/>
          <w:szCs w:val="28"/>
        </w:rPr>
        <w:t xml:space="preserve"> недостоверных сведений.</w:t>
      </w:r>
    </w:p>
    <w:p w:rsidR="008D106E" w:rsidRDefault="008D106E" w:rsidP="008D106E">
      <w:pPr>
        <w:numPr>
          <w:ilvl w:val="0"/>
          <w:numId w:val="17"/>
        </w:numPr>
        <w:tabs>
          <w:tab w:val="left" w:pos="567"/>
          <w:tab w:val="left" w:pos="709"/>
          <w:tab w:val="left" w:pos="993"/>
        </w:tabs>
        <w:spacing w:after="120"/>
        <w:ind w:left="0" w:firstLine="567"/>
        <w:jc w:val="both"/>
        <w:rPr>
          <w:sz w:val="28"/>
          <w:szCs w:val="28"/>
        </w:rPr>
      </w:pPr>
      <w:r>
        <w:rPr>
          <w:sz w:val="28"/>
          <w:szCs w:val="28"/>
        </w:rPr>
        <w:t>Наличие не более 4 (четырех) ограничивающих факторов, указанных в разделе 5 настоящей Методике.</w:t>
      </w:r>
      <w:r>
        <w:rPr>
          <w:sz w:val="28"/>
          <w:szCs w:val="28"/>
        </w:rPr>
        <w:tab/>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 xml:space="preserve">По итогам оценки отборочных критериев эксперт по безопасности принимает решение о </w:t>
      </w:r>
      <w:r w:rsidR="00061F3C">
        <w:rPr>
          <w:sz w:val="28"/>
          <w:szCs w:val="28"/>
        </w:rPr>
        <w:t xml:space="preserve">выдачи </w:t>
      </w:r>
      <w:r>
        <w:rPr>
          <w:sz w:val="28"/>
          <w:szCs w:val="28"/>
        </w:rPr>
        <w:t xml:space="preserve">рекомендации </w:t>
      </w:r>
      <w:r w:rsidR="00061F3C">
        <w:rPr>
          <w:sz w:val="28"/>
          <w:szCs w:val="28"/>
        </w:rPr>
        <w:t>пр</w:t>
      </w:r>
      <w:r>
        <w:rPr>
          <w:sz w:val="28"/>
          <w:szCs w:val="28"/>
        </w:rPr>
        <w:t>о соответстви</w:t>
      </w:r>
      <w:r w:rsidR="00061F3C">
        <w:rPr>
          <w:sz w:val="28"/>
          <w:szCs w:val="28"/>
        </w:rPr>
        <w:t>е</w:t>
      </w:r>
      <w:r>
        <w:rPr>
          <w:sz w:val="28"/>
          <w:szCs w:val="28"/>
        </w:rPr>
        <w:t xml:space="preserve"> Участника критериям оценки либо </w:t>
      </w:r>
      <w:r w:rsidR="00061F3C">
        <w:rPr>
          <w:sz w:val="28"/>
          <w:szCs w:val="28"/>
        </w:rPr>
        <w:t>про</w:t>
      </w:r>
      <w:r>
        <w:rPr>
          <w:sz w:val="28"/>
          <w:szCs w:val="28"/>
        </w:rPr>
        <w:t xml:space="preserve"> его отклонени</w:t>
      </w:r>
      <w:r w:rsidR="00061F3C">
        <w:rPr>
          <w:sz w:val="28"/>
          <w:szCs w:val="28"/>
        </w:rPr>
        <w:t>е</w:t>
      </w:r>
      <w:r>
        <w:rPr>
          <w:sz w:val="28"/>
          <w:szCs w:val="28"/>
        </w:rPr>
        <w:t>.</w:t>
      </w:r>
    </w:p>
    <w:p w:rsidR="008D106E" w:rsidRDefault="008D106E" w:rsidP="008D106E">
      <w:pPr>
        <w:tabs>
          <w:tab w:val="left" w:pos="993"/>
        </w:tabs>
        <w:spacing w:after="120"/>
        <w:ind w:firstLine="567"/>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Ограничивающие факторы</w:t>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Ограничивающие факторы используются для принятия решения о соответствии/несоответствии Участника требованиям к деловой репутации.</w:t>
      </w:r>
    </w:p>
    <w:p w:rsidR="008D106E" w:rsidRDefault="008D106E" w:rsidP="008D106E">
      <w:pPr>
        <w:tabs>
          <w:tab w:val="left" w:pos="993"/>
        </w:tabs>
        <w:spacing w:after="120"/>
        <w:ind w:firstLine="567"/>
        <w:jc w:val="both"/>
        <w:rPr>
          <w:sz w:val="28"/>
          <w:szCs w:val="28"/>
        </w:rPr>
      </w:pPr>
      <w:r>
        <w:rPr>
          <w:sz w:val="28"/>
          <w:szCs w:val="28"/>
        </w:rPr>
        <w:t xml:space="preserve">Участник, соответствующий </w:t>
      </w:r>
      <w:r w:rsidR="0099577B">
        <w:rPr>
          <w:sz w:val="28"/>
          <w:szCs w:val="28"/>
        </w:rPr>
        <w:t>5 (пяти)</w:t>
      </w:r>
      <w:r w:rsidR="00E9687C">
        <w:rPr>
          <w:sz w:val="28"/>
          <w:szCs w:val="28"/>
        </w:rPr>
        <w:t xml:space="preserve"> и более</w:t>
      </w:r>
      <w:r w:rsidR="009E724A">
        <w:rPr>
          <w:sz w:val="28"/>
          <w:szCs w:val="28"/>
        </w:rPr>
        <w:t xml:space="preserve"> </w:t>
      </w:r>
      <w:r>
        <w:rPr>
          <w:sz w:val="28"/>
          <w:szCs w:val="28"/>
        </w:rPr>
        <w:t xml:space="preserve">ограничивающим факторам,  должен быть рекомендован к отклонению. </w:t>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Ограничивающими факторами являются:</w:t>
      </w:r>
    </w:p>
    <w:p w:rsidR="00E9687C" w:rsidRPr="00E9687C" w:rsidRDefault="00E9687C" w:rsidP="00E9687C">
      <w:pPr>
        <w:pStyle w:val="a5"/>
        <w:numPr>
          <w:ilvl w:val="0"/>
          <w:numId w:val="36"/>
        </w:numPr>
        <w:tabs>
          <w:tab w:val="left" w:pos="709"/>
          <w:tab w:val="left" w:pos="993"/>
        </w:tabs>
        <w:spacing w:after="120"/>
        <w:ind w:left="0" w:firstLine="567"/>
        <w:jc w:val="both"/>
        <w:rPr>
          <w:sz w:val="28"/>
          <w:szCs w:val="28"/>
        </w:rPr>
      </w:pPr>
      <w:r w:rsidRPr="00E9687C">
        <w:rPr>
          <w:sz w:val="28"/>
          <w:szCs w:val="28"/>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r w:rsidR="008D106E" w:rsidRPr="00E9687C">
        <w:rPr>
          <w:sz w:val="28"/>
          <w:szCs w:val="28"/>
        </w:rPr>
        <w:tab/>
      </w:r>
    </w:p>
    <w:p w:rsidR="008D106E" w:rsidRDefault="00E9687C" w:rsidP="008D106E">
      <w:pPr>
        <w:tabs>
          <w:tab w:val="left" w:pos="993"/>
        </w:tabs>
        <w:spacing w:after="120"/>
        <w:ind w:firstLine="567"/>
        <w:jc w:val="both"/>
        <w:rPr>
          <w:sz w:val="28"/>
          <w:szCs w:val="28"/>
        </w:rPr>
      </w:pPr>
      <w:r>
        <w:rPr>
          <w:sz w:val="28"/>
          <w:szCs w:val="28"/>
        </w:rPr>
        <w:t xml:space="preserve">2. </w:t>
      </w:r>
      <w:r w:rsidR="00454B99">
        <w:rPr>
          <w:sz w:val="28"/>
          <w:szCs w:val="28"/>
        </w:rPr>
        <w:t>Наличие исполнительных производств в отношении Участника на сайте Федеральной службы судебных приставов (</w:t>
      </w:r>
      <w:hyperlink r:id="rId9" w:history="1">
        <w:r w:rsidR="00454B99">
          <w:rPr>
            <w:rStyle w:val="ab"/>
            <w:sz w:val="28"/>
            <w:szCs w:val="28"/>
          </w:rPr>
          <w:t>http://fssprus.ru</w:t>
        </w:r>
      </w:hyperlink>
      <w:r w:rsidR="00454B99">
        <w:rPr>
          <w:sz w:val="28"/>
          <w:szCs w:val="28"/>
        </w:rPr>
        <w:t>)</w:t>
      </w:r>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3</w:t>
      </w:r>
      <w:r w:rsidR="008D106E">
        <w:rPr>
          <w:sz w:val="28"/>
          <w:szCs w:val="28"/>
        </w:rPr>
        <w:t>.</w:t>
      </w:r>
      <w:r w:rsidR="008D106E">
        <w:rPr>
          <w:sz w:val="28"/>
          <w:szCs w:val="28"/>
        </w:rPr>
        <w:tab/>
        <w:t>Наличие просроченной задолженности в бюджетные и/или внебюджетные фонды в размере, превышающем 1/12 от выручки Участника за последний отчетный год (справка ИФНС).</w:t>
      </w:r>
    </w:p>
    <w:p w:rsidR="008D106E" w:rsidRDefault="00E9687C" w:rsidP="008D106E">
      <w:pPr>
        <w:tabs>
          <w:tab w:val="left" w:pos="993"/>
        </w:tabs>
        <w:spacing w:after="120"/>
        <w:ind w:firstLine="567"/>
        <w:jc w:val="both"/>
        <w:rPr>
          <w:sz w:val="28"/>
          <w:szCs w:val="28"/>
        </w:rPr>
      </w:pPr>
      <w:r>
        <w:rPr>
          <w:sz w:val="28"/>
          <w:szCs w:val="28"/>
        </w:rPr>
        <w:t>4</w:t>
      </w:r>
      <w:r w:rsidR="008D106E">
        <w:rPr>
          <w:sz w:val="28"/>
          <w:szCs w:val="28"/>
        </w:rPr>
        <w:t>.</w:t>
      </w:r>
      <w:r w:rsidR="008D106E">
        <w:rPr>
          <w:sz w:val="28"/>
          <w:szCs w:val="28"/>
        </w:rPr>
        <w:tab/>
        <w:t>Массовый адрес регистрации Участника</w:t>
      </w:r>
      <w:r w:rsidR="00D515AE">
        <w:rPr>
          <w:sz w:val="28"/>
          <w:szCs w:val="28"/>
        </w:rPr>
        <w:t xml:space="preserve"> согласно данным</w:t>
      </w:r>
      <w:r w:rsidR="008D106E">
        <w:rPr>
          <w:sz w:val="28"/>
          <w:szCs w:val="28"/>
        </w:rPr>
        <w:t xml:space="preserve"> </w:t>
      </w:r>
      <w:r w:rsidR="00D515AE">
        <w:rPr>
          <w:sz w:val="28"/>
          <w:szCs w:val="28"/>
        </w:rPr>
        <w:t xml:space="preserve">сайта </w:t>
      </w:r>
      <w:r w:rsidR="008D106E">
        <w:rPr>
          <w:sz w:val="28"/>
          <w:szCs w:val="28"/>
        </w:rPr>
        <w:t>Федеральной налоговой службы (</w:t>
      </w:r>
      <w:hyperlink r:id="rId10" w:history="1">
        <w:r w:rsidR="008D106E">
          <w:rPr>
            <w:rStyle w:val="ab"/>
            <w:sz w:val="28"/>
            <w:szCs w:val="28"/>
          </w:rPr>
          <w:t>http://www.nalog.ru</w:t>
        </w:r>
      </w:hyperlink>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5</w:t>
      </w:r>
      <w:r w:rsidR="008D106E">
        <w:rPr>
          <w:sz w:val="28"/>
          <w:szCs w:val="28"/>
        </w:rPr>
        <w:t>.</w:t>
      </w:r>
      <w:r w:rsidR="008D106E">
        <w:rPr>
          <w:sz w:val="28"/>
          <w:szCs w:val="28"/>
        </w:rPr>
        <w:tab/>
        <w:t xml:space="preserve">Наличие у Участника счетов, открытых только в «мелких» кредитных организациях, и использование таких счетов для расчетов по планируемым договорам с Заказчиком  (к «мелким» относятся кредитные организации, не входящие в рэнкинги ИНТЕРФАКС-100 на сайте: </w:t>
      </w:r>
      <w:hyperlink r:id="rId11" w:history="1">
        <w:r w:rsidR="008D106E">
          <w:rPr>
            <w:rStyle w:val="ab"/>
            <w:sz w:val="28"/>
            <w:szCs w:val="28"/>
          </w:rPr>
          <w:t>http://www.finmarket.ru</w:t>
        </w:r>
      </w:hyperlink>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6</w:t>
      </w:r>
      <w:r w:rsidR="008D106E">
        <w:rPr>
          <w:sz w:val="28"/>
          <w:szCs w:val="28"/>
        </w:rPr>
        <w:t>.</w:t>
      </w:r>
      <w:r w:rsidR="008D106E">
        <w:rPr>
          <w:sz w:val="28"/>
          <w:szCs w:val="28"/>
        </w:rPr>
        <w:tab/>
        <w:t xml:space="preserve">Неустойчивое финансовое состояние по результатам оценки финансово-экономической устойчивости Участника, произведенной в соответствии с разделом 6 настоящей Методики. </w:t>
      </w:r>
    </w:p>
    <w:p w:rsidR="008D106E" w:rsidRDefault="008D106E" w:rsidP="008D106E">
      <w:pPr>
        <w:tabs>
          <w:tab w:val="left" w:pos="993"/>
        </w:tabs>
        <w:spacing w:after="120"/>
        <w:jc w:val="both"/>
        <w:rPr>
          <w:sz w:val="28"/>
          <w:szCs w:val="28"/>
        </w:rPr>
      </w:pPr>
    </w:p>
    <w:p w:rsidR="008D106E" w:rsidRDefault="008D106E" w:rsidP="008D106E">
      <w:pPr>
        <w:numPr>
          <w:ilvl w:val="0"/>
          <w:numId w:val="32"/>
        </w:numPr>
        <w:tabs>
          <w:tab w:val="left" w:pos="851"/>
          <w:tab w:val="left" w:pos="993"/>
        </w:tabs>
        <w:spacing w:after="120"/>
        <w:jc w:val="center"/>
        <w:rPr>
          <w:sz w:val="28"/>
          <w:szCs w:val="28"/>
        </w:rPr>
      </w:pPr>
      <w:r>
        <w:rPr>
          <w:b/>
          <w:sz w:val="28"/>
          <w:szCs w:val="28"/>
        </w:rPr>
        <w:t>Оценка финансово-экономической устойчивости Участника</w:t>
      </w:r>
    </w:p>
    <w:p w:rsidR="008D106E" w:rsidRDefault="008D106E" w:rsidP="008D106E">
      <w:pPr>
        <w:numPr>
          <w:ilvl w:val="1"/>
          <w:numId w:val="32"/>
        </w:numPr>
        <w:tabs>
          <w:tab w:val="left" w:pos="0"/>
          <w:tab w:val="left" w:pos="1418"/>
        </w:tabs>
        <w:spacing w:after="120"/>
        <w:ind w:left="0" w:firstLine="567"/>
        <w:jc w:val="both"/>
        <w:rPr>
          <w:sz w:val="28"/>
          <w:szCs w:val="28"/>
        </w:rPr>
      </w:pPr>
      <w:r>
        <w:rPr>
          <w:sz w:val="28"/>
          <w:szCs w:val="28"/>
        </w:rPr>
        <w:t xml:space="preserve">В рамках оценки финансово-экономической устойчивости Участника экспертом по безопасности принимается решение о </w:t>
      </w:r>
      <w:r>
        <w:rPr>
          <w:sz w:val="28"/>
          <w:szCs w:val="28"/>
        </w:rPr>
        <w:lastRenderedPageBreak/>
        <w:t xml:space="preserve">способности/неспособности Участника закупочной процедуры, с точки зрения финансово-экономических критериев, осуществить необходимую поставку товара, выполнить работы, оказать услуги. </w:t>
      </w:r>
    </w:p>
    <w:p w:rsidR="008D106E" w:rsidRDefault="008D106E" w:rsidP="008D106E">
      <w:pPr>
        <w:numPr>
          <w:ilvl w:val="1"/>
          <w:numId w:val="32"/>
        </w:numPr>
        <w:tabs>
          <w:tab w:val="left" w:pos="0"/>
          <w:tab w:val="left" w:pos="1418"/>
        </w:tabs>
        <w:spacing w:after="120"/>
        <w:ind w:left="0" w:firstLine="567"/>
        <w:jc w:val="both"/>
        <w:rPr>
          <w:sz w:val="28"/>
          <w:szCs w:val="28"/>
        </w:rPr>
      </w:pPr>
      <w:r>
        <w:rPr>
          <w:sz w:val="28"/>
          <w:szCs w:val="28"/>
        </w:rPr>
        <w:t>Каждому финансово-экономическому показателю в зависимости от принимаемого значения присваивается балл от 0 до 1, где:</w:t>
      </w:r>
    </w:p>
    <w:p w:rsidR="008D106E" w:rsidRDefault="008D106E" w:rsidP="008D106E">
      <w:pPr>
        <w:numPr>
          <w:ilvl w:val="0"/>
          <w:numId w:val="34"/>
        </w:numPr>
        <w:tabs>
          <w:tab w:val="left" w:pos="0"/>
          <w:tab w:val="left" w:pos="1418"/>
        </w:tabs>
        <w:spacing w:after="120"/>
        <w:ind w:left="1418" w:hanging="720"/>
        <w:jc w:val="both"/>
        <w:rPr>
          <w:sz w:val="28"/>
          <w:szCs w:val="28"/>
        </w:rPr>
      </w:pPr>
      <w:r>
        <w:rPr>
          <w:sz w:val="28"/>
          <w:szCs w:val="28"/>
        </w:rPr>
        <w:t>0 соответствует неудовлетворительному значению;</w:t>
      </w:r>
    </w:p>
    <w:p w:rsidR="008D106E" w:rsidRDefault="008D106E" w:rsidP="008D106E">
      <w:pPr>
        <w:numPr>
          <w:ilvl w:val="0"/>
          <w:numId w:val="34"/>
        </w:numPr>
        <w:tabs>
          <w:tab w:val="left" w:pos="0"/>
          <w:tab w:val="left" w:pos="1418"/>
        </w:tabs>
        <w:spacing w:after="120"/>
        <w:ind w:left="1418" w:hanging="720"/>
        <w:jc w:val="both"/>
        <w:rPr>
          <w:sz w:val="28"/>
          <w:szCs w:val="28"/>
        </w:rPr>
      </w:pPr>
      <w:r>
        <w:rPr>
          <w:sz w:val="28"/>
          <w:szCs w:val="28"/>
        </w:rPr>
        <w:t xml:space="preserve">1 соответствует нормальному значению. </w:t>
      </w:r>
    </w:p>
    <w:p w:rsidR="008D106E" w:rsidRDefault="008D106E" w:rsidP="008D106E">
      <w:pPr>
        <w:tabs>
          <w:tab w:val="left" w:pos="851"/>
          <w:tab w:val="left" w:pos="993"/>
        </w:tabs>
        <w:spacing w:after="120"/>
        <w:ind w:firstLine="567"/>
        <w:jc w:val="both"/>
        <w:rPr>
          <w:sz w:val="28"/>
          <w:szCs w:val="28"/>
        </w:rPr>
      </w:pPr>
      <w:r>
        <w:rPr>
          <w:sz w:val="28"/>
          <w:szCs w:val="28"/>
        </w:rPr>
        <w:t>Среднеарифметические показатели полученных баллов, умноженные на весовые коэффициенты, дают оценку финансово-экономической устойчивости Участника.</w:t>
      </w:r>
    </w:p>
    <w:p w:rsidR="008D106E" w:rsidRDefault="008D106E" w:rsidP="008D106E">
      <w:pPr>
        <w:tabs>
          <w:tab w:val="left" w:pos="851"/>
          <w:tab w:val="left" w:pos="993"/>
        </w:tabs>
        <w:spacing w:after="120"/>
        <w:ind w:firstLine="567"/>
        <w:jc w:val="both"/>
        <w:rPr>
          <w:b/>
          <w:sz w:val="28"/>
          <w:szCs w:val="28"/>
        </w:rPr>
      </w:pPr>
      <w:r>
        <w:rPr>
          <w:b/>
          <w:sz w:val="28"/>
          <w:szCs w:val="28"/>
        </w:rPr>
        <w:t>6.3.</w:t>
      </w:r>
      <w:r>
        <w:rPr>
          <w:sz w:val="28"/>
          <w:szCs w:val="28"/>
        </w:rPr>
        <w:t xml:space="preserve"> </w:t>
      </w:r>
      <w:r>
        <w:rPr>
          <w:b/>
          <w:sz w:val="28"/>
          <w:szCs w:val="28"/>
        </w:rPr>
        <w:t>Группа финансовых показателей.</w:t>
      </w:r>
    </w:p>
    <w:p w:rsidR="008D106E" w:rsidRDefault="008D106E" w:rsidP="008D106E">
      <w:pPr>
        <w:tabs>
          <w:tab w:val="left" w:pos="851"/>
          <w:tab w:val="left" w:pos="993"/>
        </w:tabs>
        <w:spacing w:before="120" w:after="120"/>
        <w:ind w:firstLine="567"/>
        <w:jc w:val="both"/>
        <w:rPr>
          <w:sz w:val="28"/>
          <w:szCs w:val="28"/>
        </w:rPr>
      </w:pPr>
      <w:r>
        <w:rPr>
          <w:sz w:val="28"/>
          <w:szCs w:val="28"/>
        </w:rPr>
        <w:t>6.3.1. Коэффициенты, характеризующие способность Участника расплачиваться по финансовым обязательствам, его устойчивость и рентабельность.</w:t>
      </w:r>
    </w:p>
    <w:p w:rsidR="008D106E" w:rsidRDefault="008D106E" w:rsidP="008D106E">
      <w:pPr>
        <w:tabs>
          <w:tab w:val="left" w:pos="851"/>
          <w:tab w:val="left" w:pos="993"/>
        </w:tabs>
        <w:spacing w:before="120" w:after="120"/>
        <w:ind w:firstLine="567"/>
        <w:jc w:val="both"/>
        <w:rPr>
          <w:sz w:val="28"/>
          <w:szCs w:val="28"/>
        </w:rPr>
      </w:pPr>
      <w:r>
        <w:rPr>
          <w:sz w:val="28"/>
          <w:szCs w:val="28"/>
        </w:rPr>
        <w:t>6.3.1.1. Доля привлеченных сре</w:t>
      </w:r>
      <w:proofErr w:type="gramStart"/>
      <w:r>
        <w:rPr>
          <w:sz w:val="28"/>
          <w:szCs w:val="28"/>
        </w:rPr>
        <w:t>дств в п</w:t>
      </w:r>
      <w:proofErr w:type="gramEnd"/>
      <w:r>
        <w:rPr>
          <w:sz w:val="28"/>
          <w:szCs w:val="28"/>
        </w:rPr>
        <w:t>ассивах.</w:t>
      </w:r>
    </w:p>
    <w:p w:rsidR="008D106E" w:rsidRDefault="008D106E" w:rsidP="008D106E">
      <w:pPr>
        <w:tabs>
          <w:tab w:val="left" w:pos="851"/>
          <w:tab w:val="left" w:pos="993"/>
        </w:tabs>
        <w:spacing w:before="120" w:after="120"/>
        <w:ind w:firstLine="567"/>
        <w:jc w:val="both"/>
        <w:rPr>
          <w:sz w:val="28"/>
          <w:szCs w:val="28"/>
        </w:rPr>
      </w:pPr>
      <w:r>
        <w:rPr>
          <w:sz w:val="28"/>
          <w:szCs w:val="28"/>
        </w:rPr>
        <w:t xml:space="preserve">Коэффициент характеризует зависимость Участника от внешних источников финансирования, его финансовую устойчивость. </w:t>
      </w:r>
    </w:p>
    <w:p w:rsidR="008D106E" w:rsidRDefault="008D106E" w:rsidP="008D106E">
      <w:pPr>
        <w:tabs>
          <w:tab w:val="left" w:pos="851"/>
          <w:tab w:val="left" w:pos="993"/>
        </w:tabs>
        <w:spacing w:before="120" w:after="120"/>
        <w:ind w:firstLine="567"/>
        <w:jc w:val="both"/>
        <w:rPr>
          <w:sz w:val="28"/>
          <w:szCs w:val="28"/>
        </w:rPr>
      </w:pPr>
      <w:r>
        <w:rPr>
          <w:sz w:val="28"/>
          <w:szCs w:val="28"/>
        </w:rPr>
        <w:t>При прочих равных условиях, чем больше у Участника доли собственных сре</w:t>
      </w:r>
      <w:proofErr w:type="gramStart"/>
      <w:r>
        <w:rPr>
          <w:sz w:val="28"/>
          <w:szCs w:val="28"/>
        </w:rPr>
        <w:t>дств в п</w:t>
      </w:r>
      <w:proofErr w:type="gramEnd"/>
      <w:r>
        <w:rPr>
          <w:sz w:val="28"/>
          <w:szCs w:val="28"/>
        </w:rPr>
        <w:t>ассивах, тем больше у него возможностей для дополнительного привлечения заемных средств:</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7665" w:dyaOrig="795" w14:anchorId="2F1EAA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8pt;height:38.8pt" o:ole="">
            <v:imagedata r:id="rId12" o:title=""/>
          </v:shape>
          <o:OLEObject Type="Embed" ProgID="Equation.3" ShapeID="_x0000_i1025" DrawAspect="Content" ObjectID="_1523452632" r:id="rId13"/>
        </w:object>
      </w:r>
      <w:r>
        <w:rPr>
          <w:sz w:val="28"/>
          <w:szCs w:val="28"/>
        </w:rPr>
        <w:t>*100%</w:t>
      </w:r>
    </w:p>
    <w:p w:rsidR="008D106E" w:rsidRDefault="008D106E" w:rsidP="008D106E">
      <w:pPr>
        <w:tabs>
          <w:tab w:val="left" w:pos="851"/>
          <w:tab w:val="left" w:pos="993"/>
        </w:tabs>
        <w:spacing w:before="120" w:after="120"/>
        <w:ind w:firstLine="567"/>
        <w:jc w:val="both"/>
        <w:rPr>
          <w:sz w:val="28"/>
          <w:szCs w:val="28"/>
        </w:rPr>
      </w:pPr>
      <w:r>
        <w:rPr>
          <w:sz w:val="28"/>
          <w:szCs w:val="28"/>
        </w:rPr>
        <w:t>6.3.1.2. Рентабельность инвестированного капитала.</w:t>
      </w:r>
    </w:p>
    <w:p w:rsidR="008D106E" w:rsidRDefault="008D106E" w:rsidP="008D106E">
      <w:pPr>
        <w:tabs>
          <w:tab w:val="left" w:pos="851"/>
          <w:tab w:val="left" w:pos="993"/>
        </w:tabs>
        <w:spacing w:before="120" w:after="120"/>
        <w:ind w:firstLine="567"/>
        <w:jc w:val="both"/>
        <w:rPr>
          <w:sz w:val="28"/>
          <w:szCs w:val="28"/>
        </w:rPr>
      </w:pPr>
      <w:r>
        <w:rPr>
          <w:sz w:val="28"/>
          <w:szCs w:val="28"/>
        </w:rPr>
        <w:t xml:space="preserve">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w:t>
      </w:r>
    </w:p>
    <w:p w:rsidR="008D106E" w:rsidRDefault="008D106E" w:rsidP="008D106E">
      <w:pPr>
        <w:tabs>
          <w:tab w:val="left" w:pos="851"/>
          <w:tab w:val="left" w:pos="993"/>
        </w:tabs>
        <w:spacing w:before="120" w:after="120"/>
        <w:ind w:firstLine="567"/>
        <w:jc w:val="both"/>
        <w:rPr>
          <w:sz w:val="28"/>
          <w:szCs w:val="28"/>
        </w:rPr>
      </w:pPr>
      <w:r>
        <w:rPr>
          <w:sz w:val="28"/>
          <w:szCs w:val="28"/>
        </w:rPr>
        <w:t>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7665" w:dyaOrig="735" w14:anchorId="466D4840">
          <v:shape id="_x0000_i1026" type="#_x0000_t75" style="width:383.8pt;height:36.95pt" o:ole="">
            <v:imagedata r:id="rId14" o:title=""/>
          </v:shape>
          <o:OLEObject Type="Embed" ProgID="Equation.3" ShapeID="_x0000_i1026" DrawAspect="Content" ObjectID="_1523452633" r:id="rId15"/>
        </w:object>
      </w:r>
      <w:r>
        <w:rPr>
          <w:sz w:val="28"/>
          <w:szCs w:val="28"/>
        </w:rPr>
        <w:t>*100%,</w:t>
      </w:r>
    </w:p>
    <w:p w:rsidR="008D106E" w:rsidRDefault="008D106E" w:rsidP="008D106E">
      <w:pPr>
        <w:tabs>
          <w:tab w:val="left" w:pos="851"/>
          <w:tab w:val="left" w:pos="993"/>
        </w:tabs>
        <w:spacing w:before="120" w:after="120"/>
        <w:ind w:firstLine="426"/>
        <w:jc w:val="both"/>
        <w:rPr>
          <w:sz w:val="28"/>
          <w:szCs w:val="28"/>
        </w:rPr>
      </w:pPr>
      <w:r>
        <w:rPr>
          <w:sz w:val="28"/>
          <w:szCs w:val="28"/>
        </w:rPr>
        <w:t>где</w:t>
      </w:r>
      <w:proofErr w:type="gramStart"/>
      <w:r>
        <w:rPr>
          <w:sz w:val="28"/>
          <w:szCs w:val="28"/>
        </w:rPr>
        <w:t xml:space="preserve"> Т</w:t>
      </w:r>
      <w:proofErr w:type="gramEnd"/>
      <w:r>
        <w:rPr>
          <w:sz w:val="28"/>
          <w:szCs w:val="28"/>
        </w:rPr>
        <w:t xml:space="preserve"> – ставка налога на прибыль.</w:t>
      </w:r>
    </w:p>
    <w:p w:rsidR="008D106E" w:rsidRDefault="008D106E" w:rsidP="008D106E">
      <w:pPr>
        <w:tabs>
          <w:tab w:val="left" w:pos="851"/>
          <w:tab w:val="left" w:pos="993"/>
        </w:tabs>
        <w:spacing w:before="120" w:after="120"/>
        <w:ind w:firstLine="426"/>
        <w:jc w:val="both"/>
        <w:rPr>
          <w:sz w:val="28"/>
          <w:szCs w:val="28"/>
        </w:rPr>
      </w:pPr>
      <w:r>
        <w:rPr>
          <w:sz w:val="28"/>
          <w:szCs w:val="28"/>
        </w:rPr>
        <w:t>6.3.1.3. Долг / EBITDA.</w:t>
      </w:r>
    </w:p>
    <w:p w:rsidR="008D106E" w:rsidRDefault="008D106E" w:rsidP="008D106E">
      <w:pPr>
        <w:tabs>
          <w:tab w:val="left" w:pos="851"/>
          <w:tab w:val="left" w:pos="993"/>
        </w:tabs>
        <w:spacing w:before="120" w:after="120"/>
        <w:ind w:firstLine="426"/>
        <w:jc w:val="both"/>
        <w:rPr>
          <w:sz w:val="28"/>
          <w:szCs w:val="28"/>
        </w:rPr>
      </w:pPr>
      <w:proofErr w:type="gramStart"/>
      <w:r>
        <w:rPr>
          <w:sz w:val="28"/>
          <w:szCs w:val="28"/>
        </w:rPr>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Участник весь свой денежный поток от операционной деятельности (в оценке через EBITDA) будет направлять на эти цели (т.е. </w:t>
      </w:r>
      <w:r>
        <w:rPr>
          <w:sz w:val="28"/>
          <w:szCs w:val="28"/>
        </w:rPr>
        <w:lastRenderedPageBreak/>
        <w:t xml:space="preserve">оценивается платежеспособность Участника в долгосрочном периоде перед банками и другими финансовыми институтами). </w:t>
      </w:r>
      <w:proofErr w:type="gramEnd"/>
    </w:p>
    <w:p w:rsidR="008D106E" w:rsidRDefault="008D106E" w:rsidP="008D106E">
      <w:pPr>
        <w:tabs>
          <w:tab w:val="left" w:pos="851"/>
          <w:tab w:val="left" w:pos="993"/>
        </w:tabs>
        <w:spacing w:before="120" w:after="120"/>
        <w:ind w:firstLine="426"/>
        <w:jc w:val="both"/>
        <w:rPr>
          <w:sz w:val="28"/>
          <w:szCs w:val="28"/>
        </w:rPr>
      </w:pPr>
      <w:r>
        <w:rPr>
          <w:sz w:val="28"/>
          <w:szCs w:val="28"/>
        </w:rPr>
        <w:t xml:space="preserve">Для целей осуществления финансово-экономической экспертизы </w:t>
      </w:r>
      <w:r>
        <w:rPr>
          <w:sz w:val="28"/>
          <w:szCs w:val="28"/>
          <w:lang w:val="en-US"/>
        </w:rPr>
        <w:t>EBITDA</w:t>
      </w:r>
      <w:r>
        <w:rPr>
          <w:sz w:val="28"/>
          <w:szCs w:val="28"/>
        </w:rPr>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8D106E" w:rsidRDefault="008D106E" w:rsidP="008D106E">
      <w:pPr>
        <w:tabs>
          <w:tab w:val="left" w:pos="851"/>
          <w:tab w:val="left" w:pos="993"/>
        </w:tabs>
        <w:spacing w:before="120" w:after="120"/>
        <w:ind w:firstLine="426"/>
        <w:jc w:val="both"/>
        <w:rPr>
          <w:sz w:val="28"/>
          <w:szCs w:val="28"/>
        </w:rPr>
      </w:pPr>
      <w:r>
        <w:rPr>
          <w:position w:val="-24"/>
          <w:sz w:val="28"/>
          <w:szCs w:val="28"/>
        </w:rPr>
        <w:object w:dxaOrig="7920" w:dyaOrig="555" w14:anchorId="69798F32">
          <v:shape id="_x0000_i1027" type="#_x0000_t75" style="width:396.95pt;height:27.55pt" o:ole="">
            <v:imagedata r:id="rId16" o:title=""/>
          </v:shape>
          <o:OLEObject Type="Embed" ProgID="Equation.3" ShapeID="_x0000_i1027" DrawAspect="Content" ObjectID="_1523452634" r:id="rId17"/>
        </w:object>
      </w:r>
    </w:p>
    <w:p w:rsidR="008D106E" w:rsidRDefault="008D106E" w:rsidP="008D106E">
      <w:pPr>
        <w:tabs>
          <w:tab w:val="left" w:pos="851"/>
          <w:tab w:val="left" w:pos="993"/>
        </w:tabs>
        <w:spacing w:after="120"/>
        <w:ind w:firstLine="426"/>
        <w:jc w:val="right"/>
        <w:rPr>
          <w:sz w:val="28"/>
          <w:szCs w:val="28"/>
        </w:rPr>
      </w:pPr>
      <w:r>
        <w:rPr>
          <w:sz w:val="28"/>
          <w:szCs w:val="28"/>
        </w:rPr>
        <w:t>Таблица перевода значений финансовых показателей в баллы по шкале от 0 до 1</w:t>
      </w:r>
    </w:p>
    <w:tbl>
      <w:tblPr>
        <w:tblW w:w="9660" w:type="dxa"/>
        <w:tblInd w:w="93" w:type="dxa"/>
        <w:tblLook w:val="00A0" w:firstRow="1" w:lastRow="0" w:firstColumn="1" w:lastColumn="0" w:noHBand="0" w:noVBand="0"/>
      </w:tblPr>
      <w:tblGrid>
        <w:gridCol w:w="1857"/>
        <w:gridCol w:w="851"/>
        <w:gridCol w:w="733"/>
        <w:gridCol w:w="733"/>
        <w:gridCol w:w="708"/>
        <w:gridCol w:w="709"/>
        <w:gridCol w:w="709"/>
        <w:gridCol w:w="709"/>
        <w:gridCol w:w="709"/>
        <w:gridCol w:w="709"/>
        <w:gridCol w:w="583"/>
        <w:gridCol w:w="850"/>
      </w:tblGrid>
      <w:tr w:rsidR="008D106E" w:rsidTr="008D106E">
        <w:trPr>
          <w:trHeight w:val="300"/>
        </w:trPr>
        <w:tc>
          <w:tcPr>
            <w:tcW w:w="185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Оценка</w:t>
            </w:r>
          </w:p>
          <w:p w:rsidR="008D106E" w:rsidRDefault="008D106E">
            <w:pPr>
              <w:tabs>
                <w:tab w:val="left" w:pos="851"/>
                <w:tab w:val="left" w:pos="993"/>
              </w:tabs>
              <w:spacing w:line="276" w:lineRule="auto"/>
              <w:ind w:firstLine="426"/>
              <w:rPr>
                <w:color w:val="000000"/>
                <w:sz w:val="20"/>
                <w:szCs w:val="20"/>
                <w:lang w:eastAsia="en-US"/>
              </w:rPr>
            </w:pPr>
            <w:r>
              <w:rPr>
                <w:color w:val="000000"/>
                <w:sz w:val="20"/>
                <w:szCs w:val="20"/>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0,0</w:t>
            </w:r>
          </w:p>
        </w:tc>
        <w:tc>
          <w:tcPr>
            <w:tcW w:w="708"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0,1</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0,2</w:t>
            </w:r>
          </w:p>
        </w:tc>
        <w:tc>
          <w:tcPr>
            <w:tcW w:w="708"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0,3</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0,4</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0,5</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0,6</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0,7</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0,8</w:t>
            </w:r>
          </w:p>
        </w:tc>
        <w:tc>
          <w:tcPr>
            <w:tcW w:w="426"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r>
      <w:tr w:rsidR="008D106E" w:rsidTr="008D106E">
        <w:trPr>
          <w:trHeight w:val="600"/>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sz w:val="20"/>
                <w:szCs w:val="20"/>
                <w:lang w:eastAsia="en-US"/>
              </w:rPr>
            </w:pPr>
            <w:r>
              <w:rPr>
                <w:sz w:val="20"/>
                <w:szCs w:val="20"/>
                <w:lang w:eastAsia="en-US"/>
              </w:rPr>
              <w:t xml:space="preserve">Доля </w:t>
            </w:r>
            <w:proofErr w:type="gramStart"/>
            <w:r>
              <w:rPr>
                <w:sz w:val="20"/>
                <w:szCs w:val="20"/>
                <w:lang w:eastAsia="en-US"/>
              </w:rPr>
              <w:t>привлечен-ных</w:t>
            </w:r>
            <w:proofErr w:type="gramEnd"/>
            <w:r>
              <w:rPr>
                <w:sz w:val="20"/>
                <w:szCs w:val="20"/>
                <w:lang w:eastAsia="en-US"/>
              </w:rPr>
              <w:t xml:space="preserve"> средств в пассивах, %</w:t>
            </w:r>
          </w:p>
        </w:tc>
        <w:tc>
          <w:tcPr>
            <w:tcW w:w="851"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100% и более</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99,5%</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98,5%</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98%</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96%</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94%</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92%</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83%</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76%</w:t>
            </w:r>
          </w:p>
        </w:tc>
        <w:tc>
          <w:tcPr>
            <w:tcW w:w="850" w:type="dxa"/>
            <w:tcBorders>
              <w:top w:val="nil"/>
              <w:left w:val="nil"/>
              <w:bottom w:val="single" w:sz="4" w:space="0" w:color="auto"/>
              <w:right w:val="single" w:sz="4" w:space="0" w:color="auto"/>
            </w:tcBorders>
            <w:shd w:val="clear" w:color="auto" w:fill="C6FED1"/>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до 70%</w:t>
            </w:r>
          </w:p>
        </w:tc>
      </w:tr>
      <w:tr w:rsidR="008D106E" w:rsidTr="008D106E">
        <w:trPr>
          <w:trHeight w:val="915"/>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убыток более 10%</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13%</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17%</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более 20%</w:t>
            </w:r>
          </w:p>
        </w:tc>
      </w:tr>
      <w:tr w:rsidR="008D106E" w:rsidTr="008D106E">
        <w:trPr>
          <w:trHeight w:val="600"/>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Долг / EBITDA, лет</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более 12 лет</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11</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8</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6</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5</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4</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менее 2 лет</w:t>
            </w:r>
          </w:p>
        </w:tc>
      </w:tr>
    </w:tbl>
    <w:p w:rsidR="008D106E" w:rsidRDefault="008D106E" w:rsidP="008D106E">
      <w:pPr>
        <w:tabs>
          <w:tab w:val="left" w:pos="851"/>
          <w:tab w:val="left" w:pos="993"/>
        </w:tabs>
        <w:spacing w:before="120" w:after="120"/>
        <w:ind w:firstLine="426"/>
        <w:jc w:val="both"/>
        <w:rPr>
          <w:sz w:val="28"/>
          <w:szCs w:val="28"/>
        </w:rPr>
      </w:pPr>
    </w:p>
    <w:p w:rsidR="008D106E" w:rsidRDefault="008D106E" w:rsidP="008D106E">
      <w:pPr>
        <w:tabs>
          <w:tab w:val="left" w:pos="851"/>
          <w:tab w:val="left" w:pos="993"/>
        </w:tabs>
        <w:spacing w:after="120"/>
        <w:ind w:firstLine="426"/>
        <w:jc w:val="both"/>
        <w:rPr>
          <w:sz w:val="28"/>
          <w:szCs w:val="28"/>
        </w:rPr>
      </w:pPr>
      <w:r w:rsidRPr="008D106E">
        <w:rPr>
          <w:sz w:val="28"/>
          <w:szCs w:val="28"/>
        </w:rPr>
        <w:t>6</w:t>
      </w:r>
      <w:r>
        <w:rPr>
          <w:sz w:val="28"/>
          <w:szCs w:val="28"/>
        </w:rPr>
        <w:t>.3.2. Коэффициенты, характеризующие операционную деятельность.</w:t>
      </w:r>
    </w:p>
    <w:p w:rsidR="008D106E" w:rsidRDefault="008D106E" w:rsidP="008D106E">
      <w:pPr>
        <w:tabs>
          <w:tab w:val="left" w:pos="851"/>
          <w:tab w:val="left" w:pos="993"/>
        </w:tabs>
        <w:spacing w:after="120"/>
        <w:ind w:firstLine="426"/>
        <w:jc w:val="both"/>
        <w:rPr>
          <w:sz w:val="28"/>
          <w:szCs w:val="28"/>
        </w:rPr>
      </w:pPr>
      <w:r w:rsidRPr="008D106E">
        <w:rPr>
          <w:sz w:val="28"/>
          <w:szCs w:val="28"/>
        </w:rPr>
        <w:t>6</w:t>
      </w:r>
      <w:r>
        <w:rPr>
          <w:sz w:val="28"/>
          <w:szCs w:val="28"/>
        </w:rPr>
        <w:t>.3.2.1. Период оборота кредиторской задолженности.</w:t>
      </w:r>
    </w:p>
    <w:p w:rsidR="008D106E" w:rsidRDefault="008D106E" w:rsidP="008D106E">
      <w:pPr>
        <w:tabs>
          <w:tab w:val="left" w:pos="851"/>
          <w:tab w:val="left" w:pos="993"/>
        </w:tabs>
        <w:spacing w:after="120"/>
        <w:ind w:firstLine="426"/>
        <w:jc w:val="both"/>
        <w:rPr>
          <w:sz w:val="28"/>
          <w:szCs w:val="28"/>
        </w:rPr>
      </w:pPr>
      <w:r>
        <w:rPr>
          <w:sz w:val="28"/>
          <w:szCs w:val="28"/>
        </w:rPr>
        <w:t>Показатель оценивает срок (в днях), в течение которого кредиторская задолженность может быть погашена (т.е. оценивает платежеспособность Участника перед  коммерческими кредиторами).</w:t>
      </w:r>
    </w:p>
    <w:p w:rsidR="008D106E" w:rsidRDefault="008D106E" w:rsidP="008D106E">
      <w:pPr>
        <w:tabs>
          <w:tab w:val="left" w:pos="851"/>
          <w:tab w:val="left" w:pos="993"/>
        </w:tabs>
        <w:spacing w:after="120"/>
        <w:ind w:firstLine="426"/>
        <w:jc w:val="both"/>
        <w:rPr>
          <w:b/>
          <w:i/>
          <w:sz w:val="28"/>
          <w:szCs w:val="28"/>
        </w:rPr>
      </w:pPr>
      <w:r>
        <w:rPr>
          <w:sz w:val="28"/>
          <w:szCs w:val="28"/>
        </w:rPr>
        <w:object w:dxaOrig="4785" w:dyaOrig="660" w14:anchorId="77776A18">
          <v:shape id="_x0000_i1028" type="#_x0000_t75" style="width:238.55pt;height:33.2pt" o:ole="">
            <v:imagedata r:id="rId18" o:title=""/>
          </v:shape>
          <o:OLEObject Type="Embed" ProgID="Equation.3" ShapeID="_x0000_i1028" DrawAspect="Content" ObjectID="_1523452635" r:id="rId19"/>
        </w:object>
      </w:r>
    </w:p>
    <w:p w:rsidR="008D106E" w:rsidRDefault="008D106E" w:rsidP="008D106E">
      <w:pPr>
        <w:tabs>
          <w:tab w:val="left" w:pos="851"/>
          <w:tab w:val="left" w:pos="993"/>
        </w:tabs>
        <w:spacing w:after="120"/>
        <w:ind w:firstLine="426"/>
        <w:jc w:val="both"/>
        <w:rPr>
          <w:sz w:val="28"/>
          <w:szCs w:val="28"/>
        </w:rPr>
      </w:pPr>
      <w:r>
        <w:rPr>
          <w:sz w:val="28"/>
          <w:szCs w:val="28"/>
        </w:rPr>
        <w:t>6.3.2.2. Период оборота дебиторской задолженности.</w:t>
      </w:r>
    </w:p>
    <w:p w:rsidR="008D106E" w:rsidRDefault="008D106E" w:rsidP="008D106E">
      <w:pPr>
        <w:tabs>
          <w:tab w:val="left" w:pos="851"/>
          <w:tab w:val="left" w:pos="993"/>
        </w:tabs>
        <w:spacing w:after="120"/>
        <w:ind w:firstLine="426"/>
        <w:jc w:val="both"/>
        <w:rPr>
          <w:sz w:val="28"/>
          <w:szCs w:val="28"/>
        </w:rPr>
      </w:pPr>
      <w:r>
        <w:rPr>
          <w:sz w:val="28"/>
          <w:szCs w:val="28"/>
        </w:rPr>
        <w:t>Показатель оценивает срок (в днях), в течение которого покупатели в среднем расплачиваются с Участником (т.е. косвенно характеризует платежеспособность покупателей, а также эффективность мероприятий по сбору платежей):</w:t>
      </w:r>
    </w:p>
    <w:p w:rsidR="008D106E" w:rsidRDefault="008D106E" w:rsidP="008D106E">
      <w:pPr>
        <w:tabs>
          <w:tab w:val="left" w:pos="851"/>
          <w:tab w:val="left" w:pos="993"/>
        </w:tabs>
        <w:spacing w:after="120"/>
        <w:ind w:firstLine="426"/>
        <w:jc w:val="both"/>
        <w:rPr>
          <w:sz w:val="28"/>
          <w:szCs w:val="28"/>
        </w:rPr>
      </w:pPr>
      <w:r>
        <w:rPr>
          <w:sz w:val="28"/>
          <w:szCs w:val="28"/>
        </w:rPr>
        <w:object w:dxaOrig="4815" w:dyaOrig="660" w14:anchorId="3B2E215E">
          <v:shape id="_x0000_i1029" type="#_x0000_t75" style="width:241.05pt;height:33.2pt" o:ole="">
            <v:imagedata r:id="rId20" o:title=""/>
          </v:shape>
          <o:OLEObject Type="Embed" ProgID="Equation.3" ShapeID="_x0000_i1029" DrawAspect="Content" ObjectID="_1523452636" r:id="rId21"/>
        </w:object>
      </w:r>
    </w:p>
    <w:p w:rsidR="008D106E" w:rsidRDefault="008D106E" w:rsidP="008D106E">
      <w:pPr>
        <w:tabs>
          <w:tab w:val="left" w:pos="851"/>
          <w:tab w:val="left" w:pos="993"/>
        </w:tabs>
        <w:spacing w:after="120"/>
        <w:ind w:firstLine="426"/>
        <w:jc w:val="right"/>
        <w:rPr>
          <w:sz w:val="28"/>
          <w:szCs w:val="28"/>
        </w:rPr>
      </w:pPr>
      <w:r>
        <w:rPr>
          <w:sz w:val="28"/>
          <w:szCs w:val="28"/>
        </w:rPr>
        <w:t>Таблица перевода значений финансовых показателей в баллы по шкале от 0 до 1</w:t>
      </w:r>
    </w:p>
    <w:tbl>
      <w:tblPr>
        <w:tblW w:w="9375" w:type="dxa"/>
        <w:tblInd w:w="93" w:type="dxa"/>
        <w:tblLook w:val="00A0" w:firstRow="1" w:lastRow="0" w:firstColumn="1" w:lastColumn="0" w:noHBand="0" w:noVBand="0"/>
      </w:tblPr>
      <w:tblGrid>
        <w:gridCol w:w="2002"/>
        <w:gridCol w:w="852"/>
        <w:gridCol w:w="631"/>
        <w:gridCol w:w="630"/>
        <w:gridCol w:w="630"/>
        <w:gridCol w:w="630"/>
        <w:gridCol w:w="630"/>
        <w:gridCol w:w="630"/>
        <w:gridCol w:w="630"/>
        <w:gridCol w:w="630"/>
        <w:gridCol w:w="630"/>
        <w:gridCol w:w="850"/>
      </w:tblGrid>
      <w:tr w:rsidR="008D106E" w:rsidTr="008D106E">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D106E" w:rsidRDefault="008D106E">
            <w:pPr>
              <w:tabs>
                <w:tab w:val="left" w:pos="851"/>
                <w:tab w:val="left" w:pos="993"/>
              </w:tabs>
              <w:spacing w:line="276" w:lineRule="auto"/>
              <w:rPr>
                <w:color w:val="000000"/>
                <w:lang w:eastAsia="en-US"/>
              </w:rPr>
            </w:pPr>
            <w:r>
              <w:rPr>
                <w:color w:val="000000"/>
                <w:lang w:eastAsia="en-US"/>
              </w:rPr>
              <w:t>Оценка</w:t>
            </w:r>
          </w:p>
          <w:p w:rsidR="008D106E" w:rsidRDefault="008D106E">
            <w:pPr>
              <w:tabs>
                <w:tab w:val="left" w:pos="851"/>
                <w:tab w:val="left" w:pos="993"/>
              </w:tabs>
              <w:spacing w:line="276" w:lineRule="auto"/>
              <w:rPr>
                <w:color w:val="000000"/>
                <w:lang w:eastAsia="en-US"/>
              </w:rPr>
            </w:pPr>
            <w:r>
              <w:rPr>
                <w:color w:val="000000"/>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0,0</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0,1</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0,2</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0,3</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0,4</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0,5</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0,6</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0,7</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0,8</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w:t>
            </w:r>
          </w:p>
        </w:tc>
      </w:tr>
      <w:tr w:rsidR="008D106E" w:rsidTr="008D106E">
        <w:trPr>
          <w:trHeight w:val="600"/>
        </w:trPr>
        <w:tc>
          <w:tcPr>
            <w:tcW w:w="2000" w:type="dxa"/>
            <w:tcBorders>
              <w:top w:val="nil"/>
              <w:left w:val="single" w:sz="4" w:space="0" w:color="auto"/>
              <w:bottom w:val="single" w:sz="4" w:space="0" w:color="auto"/>
              <w:right w:val="single" w:sz="4" w:space="0" w:color="auto"/>
            </w:tcBorders>
            <w:hideMark/>
          </w:tcPr>
          <w:p w:rsidR="008D106E" w:rsidRDefault="008D106E">
            <w:pPr>
              <w:tabs>
                <w:tab w:val="left" w:pos="851"/>
                <w:tab w:val="left" w:pos="993"/>
              </w:tabs>
              <w:spacing w:line="276" w:lineRule="auto"/>
              <w:rPr>
                <w:color w:val="000000"/>
                <w:lang w:eastAsia="en-US"/>
              </w:rPr>
            </w:pPr>
            <w:r>
              <w:rPr>
                <w:color w:val="000000"/>
                <w:lang w:eastAsia="en-US"/>
              </w:rPr>
              <w:lastRenderedPageBreak/>
              <w:t>период оборота дебиторской задолженности, дн</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lang w:eastAsia="en-US"/>
              </w:rPr>
            </w:pPr>
            <w:r>
              <w:rPr>
                <w:color w:val="000000"/>
                <w:lang w:eastAsia="en-US"/>
              </w:rPr>
              <w:t>более 180 дней</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165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150</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135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120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90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75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60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45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lang w:eastAsia="en-US"/>
              </w:rPr>
            </w:pPr>
            <w:r>
              <w:rPr>
                <w:color w:val="000000"/>
                <w:lang w:eastAsia="en-US"/>
              </w:rPr>
              <w:t>до 30 дней</w:t>
            </w:r>
          </w:p>
        </w:tc>
      </w:tr>
      <w:tr w:rsidR="008D106E" w:rsidTr="008D106E">
        <w:trPr>
          <w:trHeight w:val="600"/>
        </w:trPr>
        <w:tc>
          <w:tcPr>
            <w:tcW w:w="2000" w:type="dxa"/>
            <w:tcBorders>
              <w:top w:val="nil"/>
              <w:left w:val="single" w:sz="4" w:space="0" w:color="auto"/>
              <w:bottom w:val="single" w:sz="4" w:space="0" w:color="auto"/>
              <w:right w:val="single" w:sz="4" w:space="0" w:color="auto"/>
            </w:tcBorders>
            <w:hideMark/>
          </w:tcPr>
          <w:p w:rsidR="008D106E" w:rsidRDefault="008D106E">
            <w:pPr>
              <w:tabs>
                <w:tab w:val="left" w:pos="851"/>
                <w:tab w:val="left" w:pos="993"/>
              </w:tabs>
              <w:spacing w:line="276" w:lineRule="auto"/>
              <w:rPr>
                <w:color w:val="000000"/>
                <w:lang w:eastAsia="en-US"/>
              </w:rPr>
            </w:pPr>
            <w:r>
              <w:rPr>
                <w:color w:val="000000"/>
                <w:lang w:eastAsia="en-US"/>
              </w:rPr>
              <w:t>период оборота кредиторской задолженности, дн</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lang w:eastAsia="en-US"/>
              </w:rPr>
            </w:pPr>
            <w:r>
              <w:rPr>
                <w:color w:val="000000"/>
                <w:lang w:eastAsia="en-US"/>
              </w:rPr>
              <w:t>более 180 дней</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165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150</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135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120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90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75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60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45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lang w:eastAsia="en-US"/>
              </w:rPr>
            </w:pPr>
            <w:r>
              <w:rPr>
                <w:color w:val="000000"/>
                <w:lang w:eastAsia="en-US"/>
              </w:rPr>
              <w:t>до 30 дней</w:t>
            </w:r>
          </w:p>
        </w:tc>
      </w:tr>
    </w:tbl>
    <w:p w:rsidR="008D106E" w:rsidRDefault="008D106E" w:rsidP="008D106E">
      <w:pPr>
        <w:tabs>
          <w:tab w:val="left" w:pos="851"/>
          <w:tab w:val="left" w:pos="993"/>
        </w:tabs>
        <w:spacing w:before="120" w:after="120"/>
        <w:ind w:firstLine="426"/>
        <w:jc w:val="both"/>
        <w:rPr>
          <w:sz w:val="28"/>
          <w:szCs w:val="28"/>
        </w:rPr>
      </w:pPr>
    </w:p>
    <w:p w:rsidR="008D106E" w:rsidRDefault="008D106E" w:rsidP="008D106E">
      <w:pPr>
        <w:tabs>
          <w:tab w:val="left" w:pos="851"/>
          <w:tab w:val="left" w:pos="993"/>
        </w:tabs>
        <w:spacing w:before="120" w:after="120"/>
        <w:ind w:firstLine="426"/>
        <w:jc w:val="both"/>
        <w:rPr>
          <w:sz w:val="28"/>
          <w:szCs w:val="28"/>
        </w:rPr>
      </w:pPr>
      <w:r>
        <w:rPr>
          <w:sz w:val="28"/>
          <w:szCs w:val="28"/>
        </w:rPr>
        <w:t>6.3.3. Коэффициенты, характеризующие ликвидность.</w:t>
      </w:r>
    </w:p>
    <w:p w:rsidR="008D106E" w:rsidRDefault="008D106E" w:rsidP="008D106E">
      <w:pPr>
        <w:tabs>
          <w:tab w:val="left" w:pos="851"/>
          <w:tab w:val="left" w:pos="993"/>
        </w:tabs>
        <w:spacing w:before="120" w:after="120"/>
        <w:ind w:firstLine="426"/>
        <w:jc w:val="both"/>
        <w:rPr>
          <w:sz w:val="28"/>
          <w:szCs w:val="28"/>
        </w:rPr>
      </w:pPr>
      <w:r>
        <w:rPr>
          <w:sz w:val="28"/>
          <w:szCs w:val="28"/>
        </w:rPr>
        <w:t>6.3.3.1. Абсолютная ликвидность.</w:t>
      </w:r>
    </w:p>
    <w:p w:rsidR="008D106E" w:rsidRDefault="008D106E" w:rsidP="008D106E">
      <w:pPr>
        <w:tabs>
          <w:tab w:val="left" w:pos="851"/>
          <w:tab w:val="left" w:pos="993"/>
        </w:tabs>
        <w:spacing w:before="120" w:after="120"/>
        <w:ind w:firstLine="426"/>
        <w:jc w:val="both"/>
        <w:rPr>
          <w:sz w:val="28"/>
          <w:szCs w:val="28"/>
        </w:rPr>
      </w:pPr>
      <w:r>
        <w:rPr>
          <w:sz w:val="28"/>
          <w:szCs w:val="28"/>
        </w:rPr>
        <w:t>Абсолютная ликвидность отражает возможность Участника погасить свои краткосрочные обязательства практически мгновенно (мгновенная платежеспособность).</w:t>
      </w:r>
    </w:p>
    <w:p w:rsidR="008D106E" w:rsidRDefault="008D106E" w:rsidP="008D106E">
      <w:pPr>
        <w:tabs>
          <w:tab w:val="left" w:pos="851"/>
          <w:tab w:val="left" w:pos="993"/>
        </w:tabs>
        <w:spacing w:before="120" w:after="120"/>
        <w:ind w:firstLine="426"/>
        <w:rPr>
          <w:b/>
          <w:i/>
          <w:sz w:val="28"/>
          <w:szCs w:val="28"/>
        </w:rPr>
      </w:pPr>
      <w:r>
        <w:rPr>
          <w:sz w:val="28"/>
          <w:szCs w:val="28"/>
        </w:rPr>
        <w:object w:dxaOrig="3525" w:dyaOrig="660" w14:anchorId="73C2D65B">
          <v:shape id="_x0000_i1030" type="#_x0000_t75" style="width:176.55pt;height:33.2pt" o:ole="">
            <v:imagedata r:id="rId22" o:title=""/>
          </v:shape>
          <o:OLEObject Type="Embed" ProgID="Equation.3" ShapeID="_x0000_i1030" DrawAspect="Content" ObjectID="_1523452637" r:id="rId23"/>
        </w:object>
      </w:r>
    </w:p>
    <w:p w:rsidR="008D106E" w:rsidRDefault="008D106E" w:rsidP="008D106E">
      <w:pPr>
        <w:tabs>
          <w:tab w:val="left" w:pos="851"/>
          <w:tab w:val="left" w:pos="993"/>
        </w:tabs>
        <w:spacing w:before="120" w:after="120"/>
        <w:ind w:firstLine="426"/>
        <w:jc w:val="both"/>
        <w:rPr>
          <w:sz w:val="28"/>
          <w:szCs w:val="28"/>
        </w:rPr>
      </w:pPr>
      <w:r>
        <w:rPr>
          <w:sz w:val="28"/>
          <w:szCs w:val="28"/>
        </w:rPr>
        <w:t>6.3.3.2. Покрытие внеоборотных активов долгосрочными источниками финансирования.</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Коэффициент покрытия внеоборотных активов собственным капиталом  и долгосрочными обязательствами отражает, в какой степени внеоборотные активы Участника финансируются долгосрочным капиталом (заемным и собственным). </w:t>
      </w:r>
    </w:p>
    <w:p w:rsidR="008D106E" w:rsidRDefault="008D106E" w:rsidP="008D106E">
      <w:pPr>
        <w:tabs>
          <w:tab w:val="left" w:pos="851"/>
          <w:tab w:val="left" w:pos="993"/>
        </w:tabs>
        <w:spacing w:before="120" w:after="120"/>
        <w:ind w:firstLine="426"/>
        <w:jc w:val="both"/>
        <w:rPr>
          <w:sz w:val="28"/>
          <w:szCs w:val="28"/>
        </w:rPr>
      </w:pPr>
      <w:r>
        <w:rPr>
          <w:sz w:val="28"/>
          <w:szCs w:val="28"/>
        </w:rPr>
        <w:t>Коэффициент оценивает ликвидность баланса:</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5955" w:dyaOrig="660" w14:anchorId="14A65EA4">
          <v:shape id="_x0000_i1031" type="#_x0000_t75" style="width:298pt;height:33.2pt" o:ole="">
            <v:imagedata r:id="rId24" o:title=""/>
          </v:shape>
          <o:OLEObject Type="Embed" ProgID="Equation.3" ShapeID="_x0000_i1031" DrawAspect="Content" ObjectID="_1523452638" r:id="rId25"/>
        </w:object>
      </w:r>
    </w:p>
    <w:p w:rsidR="008D106E" w:rsidRDefault="008D106E" w:rsidP="008D106E">
      <w:pPr>
        <w:tabs>
          <w:tab w:val="left" w:pos="851"/>
          <w:tab w:val="left" w:pos="993"/>
        </w:tabs>
        <w:spacing w:after="120"/>
        <w:ind w:firstLine="426"/>
        <w:jc w:val="both"/>
        <w:rPr>
          <w:sz w:val="28"/>
          <w:szCs w:val="28"/>
        </w:rPr>
      </w:pPr>
      <w:r>
        <w:rPr>
          <w:sz w:val="28"/>
          <w:szCs w:val="28"/>
        </w:rPr>
        <w:t>Таблица перевода значений финансовых показателей в баллы по шкале от 0 до 1</w:t>
      </w:r>
    </w:p>
    <w:tbl>
      <w:tblPr>
        <w:tblW w:w="9225" w:type="dxa"/>
        <w:tblInd w:w="93" w:type="dxa"/>
        <w:tblLook w:val="00A0" w:firstRow="1" w:lastRow="0" w:firstColumn="1" w:lastColumn="0" w:noHBand="0" w:noVBand="0"/>
      </w:tblPr>
      <w:tblGrid>
        <w:gridCol w:w="1832"/>
        <w:gridCol w:w="841"/>
        <w:gridCol w:w="634"/>
        <w:gridCol w:w="634"/>
        <w:gridCol w:w="634"/>
        <w:gridCol w:w="634"/>
        <w:gridCol w:w="634"/>
        <w:gridCol w:w="634"/>
        <w:gridCol w:w="634"/>
        <w:gridCol w:w="634"/>
        <w:gridCol w:w="634"/>
        <w:gridCol w:w="850"/>
      </w:tblGrid>
      <w:tr w:rsidR="008D106E" w:rsidTr="008D106E">
        <w:trPr>
          <w:trHeight w:val="300"/>
        </w:trPr>
        <w:tc>
          <w:tcPr>
            <w:tcW w:w="183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4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600"/>
        </w:trPr>
        <w:tc>
          <w:tcPr>
            <w:tcW w:w="1832"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 xml:space="preserve">Абсолютная ликвидность </w:t>
            </w:r>
          </w:p>
        </w:tc>
        <w:tc>
          <w:tcPr>
            <w:tcW w:w="84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0,02</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0,03</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0,04</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0,06</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0,07</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0,09</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0,17</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0,2</w:t>
            </w:r>
          </w:p>
        </w:tc>
      </w:tr>
      <w:tr w:rsidR="008D106E" w:rsidTr="008D106E">
        <w:trPr>
          <w:trHeight w:val="1500"/>
        </w:trPr>
        <w:tc>
          <w:tcPr>
            <w:tcW w:w="1832"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Покрытие внеоборотных активов долгосрочными источниками финансирования</w:t>
            </w:r>
          </w:p>
        </w:tc>
        <w:tc>
          <w:tcPr>
            <w:tcW w:w="84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1,8</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1,7</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1,6</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1,4</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1,2</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0,8</w:t>
            </w:r>
          </w:p>
        </w:tc>
      </w:tr>
    </w:tbl>
    <w:p w:rsidR="008D106E" w:rsidRDefault="008D106E" w:rsidP="008D106E">
      <w:pPr>
        <w:tabs>
          <w:tab w:val="left" w:pos="851"/>
          <w:tab w:val="left" w:pos="993"/>
        </w:tabs>
        <w:spacing w:before="120" w:after="120"/>
        <w:ind w:firstLine="426"/>
        <w:jc w:val="both"/>
        <w:rPr>
          <w:b/>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6.3.4. Коэффициенты, характеризующие финансовую устойчивость.</w:t>
      </w:r>
    </w:p>
    <w:p w:rsidR="008D106E" w:rsidRDefault="008D106E" w:rsidP="008D106E">
      <w:pPr>
        <w:tabs>
          <w:tab w:val="left" w:pos="851"/>
          <w:tab w:val="left" w:pos="993"/>
        </w:tabs>
        <w:spacing w:after="120"/>
        <w:ind w:firstLine="426"/>
        <w:jc w:val="both"/>
        <w:rPr>
          <w:sz w:val="28"/>
          <w:szCs w:val="28"/>
        </w:rPr>
      </w:pPr>
      <w:r>
        <w:rPr>
          <w:sz w:val="28"/>
          <w:szCs w:val="28"/>
        </w:rPr>
        <w:t>6.3.4.1. Коэффициент финансовой независимости (автономии).</w:t>
      </w:r>
    </w:p>
    <w:p w:rsidR="008D106E" w:rsidRDefault="008D106E" w:rsidP="008D106E">
      <w:pPr>
        <w:tabs>
          <w:tab w:val="left" w:pos="851"/>
          <w:tab w:val="left" w:pos="993"/>
        </w:tabs>
        <w:spacing w:after="120"/>
        <w:ind w:firstLine="426"/>
        <w:jc w:val="both"/>
        <w:rPr>
          <w:sz w:val="28"/>
          <w:szCs w:val="28"/>
        </w:rPr>
      </w:pPr>
      <w:r>
        <w:rPr>
          <w:sz w:val="28"/>
          <w:szCs w:val="28"/>
        </w:rPr>
        <w:lastRenderedPageBreak/>
        <w:t>Коэффициент финансовой независимости показывает удельный вес собственных средств в общей сумме источников финансирования.</w:t>
      </w:r>
    </w:p>
    <w:p w:rsidR="008D106E" w:rsidRDefault="00015B9F" w:rsidP="008D106E">
      <w:pPr>
        <w:tabs>
          <w:tab w:val="left" w:pos="851"/>
          <w:tab w:val="left" w:pos="993"/>
        </w:tabs>
        <w:spacing w:after="120"/>
        <w:ind w:firstLine="426"/>
        <w:jc w:val="both"/>
        <w:rPr>
          <w:sz w:val="28"/>
          <w:szCs w:val="28"/>
        </w:rPr>
      </w:pPr>
      <w:r>
        <w:pict w14:anchorId="4D897D8A">
          <v:shape id="_x0000_s1039" type="#_x0000_t75" style="position:absolute;left:0;text-align:left;margin-left:0;margin-top:.2pt;width:129.45pt;height:33.3pt;z-index:251657728;mso-position-horizontal:left">
            <v:imagedata r:id="rId26" o:title=""/>
            <w10:wrap type="square" side="right"/>
          </v:shape>
          <o:OLEObject Type="Embed" ProgID="Equation.3" ShapeID="_x0000_s1039" DrawAspect="Content" ObjectID="_1523452640" r:id="rId27"/>
        </w:pict>
      </w:r>
      <w:r w:rsidR="008D106E">
        <w:rPr>
          <w:b/>
          <w:i/>
          <w:sz w:val="28"/>
          <w:szCs w:val="28"/>
        </w:rPr>
        <w:br w:type="textWrapping" w:clear="all"/>
      </w:r>
    </w:p>
    <w:p w:rsidR="008D106E" w:rsidRDefault="008D106E" w:rsidP="008D106E">
      <w:pPr>
        <w:tabs>
          <w:tab w:val="left" w:pos="851"/>
          <w:tab w:val="left" w:pos="993"/>
        </w:tabs>
        <w:spacing w:after="120"/>
        <w:ind w:firstLine="426"/>
        <w:jc w:val="both"/>
        <w:rPr>
          <w:sz w:val="28"/>
          <w:szCs w:val="28"/>
        </w:rPr>
      </w:pPr>
      <w:r>
        <w:rPr>
          <w:sz w:val="28"/>
          <w:szCs w:val="28"/>
        </w:rPr>
        <w:t>Таблица перевода значений финансовых показателей в баллы по шкале от 0 до 1</w:t>
      </w:r>
    </w:p>
    <w:tbl>
      <w:tblPr>
        <w:tblW w:w="9225" w:type="dxa"/>
        <w:tblInd w:w="93" w:type="dxa"/>
        <w:tblLook w:val="00A0" w:firstRow="1" w:lastRow="0" w:firstColumn="1" w:lastColumn="0" w:noHBand="0" w:noVBand="0"/>
      </w:tblPr>
      <w:tblGrid>
        <w:gridCol w:w="1830"/>
        <w:gridCol w:w="840"/>
        <w:gridCol w:w="633"/>
        <w:gridCol w:w="634"/>
        <w:gridCol w:w="634"/>
        <w:gridCol w:w="634"/>
        <w:gridCol w:w="634"/>
        <w:gridCol w:w="634"/>
        <w:gridCol w:w="634"/>
        <w:gridCol w:w="634"/>
        <w:gridCol w:w="634"/>
        <w:gridCol w:w="850"/>
      </w:tblGrid>
      <w:tr w:rsidR="008D106E" w:rsidTr="008D106E">
        <w:trPr>
          <w:trHeight w:val="300"/>
        </w:trPr>
        <w:tc>
          <w:tcPr>
            <w:tcW w:w="183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4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3"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600"/>
        </w:trPr>
        <w:tc>
          <w:tcPr>
            <w:tcW w:w="1830"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Коэффициент финансовой независимости</w:t>
            </w:r>
          </w:p>
        </w:tc>
        <w:tc>
          <w:tcPr>
            <w:tcW w:w="840"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w:t>
            </w:r>
          </w:p>
        </w:tc>
        <w:tc>
          <w:tcPr>
            <w:tcW w:w="633"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0,10</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0,25</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0,27</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0,30</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0,4</w:t>
            </w:r>
          </w:p>
        </w:tc>
      </w:tr>
    </w:tbl>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bCs w:val="0"/>
          <w:color w:val="000000"/>
        </w:rPr>
      </w:pPr>
    </w:p>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color w:val="000000"/>
        </w:rPr>
      </w:pPr>
      <w:r>
        <w:rPr>
          <w:rFonts w:ascii="Times New Roman" w:hAnsi="Times New Roman"/>
          <w:bCs w:val="0"/>
          <w:color w:val="000000"/>
        </w:rPr>
        <w:t xml:space="preserve">6.4. Группа </w:t>
      </w:r>
      <w:proofErr w:type="gramStart"/>
      <w:r>
        <w:rPr>
          <w:rFonts w:ascii="Times New Roman" w:hAnsi="Times New Roman"/>
          <w:bCs w:val="0"/>
          <w:color w:val="000000"/>
        </w:rPr>
        <w:t>показателей соответствия масштабов деятельности Участника</w:t>
      </w:r>
      <w:proofErr w:type="gramEnd"/>
      <w:r>
        <w:rPr>
          <w:rFonts w:ascii="Times New Roman" w:hAnsi="Times New Roman"/>
          <w:bCs w:val="0"/>
          <w:color w:val="000000"/>
        </w:rPr>
        <w:t xml:space="preserve"> сумме закупки. </w:t>
      </w:r>
    </w:p>
    <w:p w:rsidR="008D106E" w:rsidRDefault="008D106E" w:rsidP="008D106E">
      <w:pPr>
        <w:tabs>
          <w:tab w:val="left" w:pos="851"/>
          <w:tab w:val="left" w:pos="993"/>
        </w:tabs>
        <w:spacing w:after="120"/>
        <w:ind w:firstLine="426"/>
        <w:jc w:val="both"/>
        <w:rPr>
          <w:sz w:val="28"/>
          <w:szCs w:val="28"/>
        </w:rPr>
      </w:pPr>
      <w:r>
        <w:rPr>
          <w:sz w:val="28"/>
          <w:szCs w:val="28"/>
        </w:rPr>
        <w:t>6.4.1. Соответствие масштабов деятельности Участника закупочной процедуры сумме закупки (в сравнении с активами, с выручкой).</w:t>
      </w:r>
    </w:p>
    <w:p w:rsidR="008D106E" w:rsidRDefault="008D106E" w:rsidP="008D106E">
      <w:pPr>
        <w:tabs>
          <w:tab w:val="left" w:pos="851"/>
          <w:tab w:val="left" w:pos="993"/>
        </w:tabs>
        <w:spacing w:after="120"/>
        <w:ind w:firstLine="426"/>
        <w:jc w:val="both"/>
        <w:rPr>
          <w:sz w:val="28"/>
          <w:szCs w:val="28"/>
        </w:rPr>
      </w:pPr>
      <w:r>
        <w:rPr>
          <w:sz w:val="28"/>
          <w:szCs w:val="28"/>
        </w:rPr>
        <w:t xml:space="preserve">Настоящей Методикой предусмотрен принцип оценки (раздел 6), согласно которому понятие финансово-экономической устойчивости включает планомерное стабильное развитие Участника, исключающее значительные колебания результатов деятельности (выручки и прибыли). </w:t>
      </w:r>
    </w:p>
    <w:p w:rsidR="008D106E" w:rsidRDefault="008D106E" w:rsidP="008D106E">
      <w:pPr>
        <w:tabs>
          <w:tab w:val="left" w:pos="851"/>
          <w:tab w:val="left" w:pos="993"/>
        </w:tabs>
        <w:spacing w:after="120"/>
        <w:ind w:firstLine="426"/>
        <w:jc w:val="both"/>
        <w:rPr>
          <w:sz w:val="28"/>
          <w:szCs w:val="28"/>
        </w:rPr>
      </w:pPr>
      <w:proofErr w:type="gramStart"/>
      <w:r>
        <w:rPr>
          <w:sz w:val="28"/>
          <w:szCs w:val="28"/>
        </w:rPr>
        <w:t>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негативно вли</w:t>
      </w:r>
      <w:r w:rsidR="009B3E97">
        <w:rPr>
          <w:sz w:val="28"/>
          <w:szCs w:val="28"/>
        </w:rPr>
        <w:t>я</w:t>
      </w:r>
      <w:r>
        <w:rPr>
          <w:sz w:val="28"/>
          <w:szCs w:val="28"/>
        </w:rPr>
        <w:t xml:space="preserve">ет на их финансовую устойчивость. </w:t>
      </w:r>
      <w:proofErr w:type="gramEnd"/>
    </w:p>
    <w:p w:rsidR="008D106E" w:rsidRDefault="008D106E" w:rsidP="008D106E">
      <w:pPr>
        <w:tabs>
          <w:tab w:val="left" w:pos="851"/>
          <w:tab w:val="left" w:pos="993"/>
        </w:tabs>
        <w:spacing w:after="120"/>
        <w:ind w:firstLine="426"/>
        <w:jc w:val="both"/>
        <w:rPr>
          <w:sz w:val="28"/>
          <w:szCs w:val="28"/>
        </w:rPr>
      </w:pPr>
      <w:r>
        <w:rPr>
          <w:sz w:val="28"/>
          <w:szCs w:val="28"/>
        </w:rPr>
        <w:t>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8D106E" w:rsidRDefault="008D106E" w:rsidP="008D106E">
      <w:pPr>
        <w:tabs>
          <w:tab w:val="left" w:pos="851"/>
          <w:tab w:val="left" w:pos="993"/>
        </w:tabs>
        <w:spacing w:after="120"/>
        <w:ind w:firstLine="426"/>
        <w:jc w:val="both"/>
        <w:rPr>
          <w:sz w:val="28"/>
          <w:szCs w:val="28"/>
        </w:rPr>
      </w:pPr>
      <w:r>
        <w:rPr>
          <w:sz w:val="28"/>
          <w:szCs w:val="28"/>
        </w:rPr>
        <w:t>Таблица перевода значений показателей в баллы по шкале от 0 до 1</w:t>
      </w:r>
    </w:p>
    <w:tbl>
      <w:tblPr>
        <w:tblW w:w="9225" w:type="dxa"/>
        <w:tblInd w:w="93" w:type="dxa"/>
        <w:tblLook w:val="00A0" w:firstRow="1" w:lastRow="0" w:firstColumn="1" w:lastColumn="0" w:noHBand="0" w:noVBand="0"/>
      </w:tblPr>
      <w:tblGrid>
        <w:gridCol w:w="1858"/>
        <w:gridCol w:w="851"/>
        <w:gridCol w:w="630"/>
        <w:gridCol w:w="630"/>
        <w:gridCol w:w="630"/>
        <w:gridCol w:w="630"/>
        <w:gridCol w:w="630"/>
        <w:gridCol w:w="630"/>
        <w:gridCol w:w="630"/>
        <w:gridCol w:w="630"/>
        <w:gridCol w:w="630"/>
        <w:gridCol w:w="850"/>
      </w:tblGrid>
      <w:tr w:rsidR="008D106E" w:rsidTr="008D106E">
        <w:trPr>
          <w:trHeight w:val="300"/>
        </w:trPr>
        <w:tc>
          <w:tcPr>
            <w:tcW w:w="1858"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795"/>
        </w:trPr>
        <w:tc>
          <w:tcPr>
            <w:tcW w:w="1858"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Сумма закупки / Годовая выручка</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0,8</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0,01</w:t>
            </w:r>
          </w:p>
        </w:tc>
      </w:tr>
      <w:tr w:rsidR="008D106E" w:rsidTr="008D106E">
        <w:trPr>
          <w:trHeight w:val="795"/>
        </w:trPr>
        <w:tc>
          <w:tcPr>
            <w:tcW w:w="1858"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Сумма закупки / Активы</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1,6</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1,4</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1,2</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0,02</w:t>
            </w:r>
          </w:p>
        </w:tc>
      </w:tr>
    </w:tbl>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rPr>
      </w:pPr>
    </w:p>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b w:val="0"/>
          <w:bCs w:val="0"/>
        </w:rPr>
      </w:pPr>
      <w:r w:rsidRPr="00901DDB">
        <w:rPr>
          <w:rFonts w:ascii="Times New Roman" w:hAnsi="Times New Roman"/>
          <w:b w:val="0"/>
          <w:bCs w:val="0"/>
          <w:color w:val="000000"/>
        </w:rPr>
        <w:t>6.4.2.</w:t>
      </w:r>
      <w:r>
        <w:rPr>
          <w:rFonts w:ascii="Times New Roman" w:hAnsi="Times New Roman"/>
          <w:bCs w:val="0"/>
          <w:color w:val="000000"/>
        </w:rPr>
        <w:t xml:space="preserve"> </w:t>
      </w:r>
      <w:r>
        <w:rPr>
          <w:rFonts w:ascii="Times New Roman" w:hAnsi="Times New Roman"/>
          <w:b w:val="0"/>
          <w:bCs w:val="0"/>
          <w:color w:val="000000"/>
        </w:rPr>
        <w:t>Весовые коэффициенты и формирование первичной оценки.</w:t>
      </w:r>
    </w:p>
    <w:p w:rsidR="008D106E" w:rsidRDefault="008D106E" w:rsidP="008D106E">
      <w:pPr>
        <w:tabs>
          <w:tab w:val="left" w:pos="851"/>
          <w:tab w:val="left" w:pos="993"/>
        </w:tabs>
        <w:spacing w:after="120"/>
        <w:ind w:firstLine="426"/>
        <w:jc w:val="both"/>
        <w:rPr>
          <w:sz w:val="28"/>
          <w:szCs w:val="28"/>
        </w:rPr>
      </w:pPr>
      <w:r>
        <w:rPr>
          <w:sz w:val="28"/>
          <w:szCs w:val="28"/>
        </w:rPr>
        <w:t>6.4.2.1. Для расчета финансовых показателей используются данные бухгалтерской отчетности Участников закупочной процедуры по состоянию на 3 отчетные даты: предпоследний и последний завершенные финансовые годы, а также последняя отчетная дата незавершенного финансового года.</w:t>
      </w:r>
    </w:p>
    <w:p w:rsidR="008D106E" w:rsidRDefault="008D106E" w:rsidP="008D106E">
      <w:pPr>
        <w:tabs>
          <w:tab w:val="left" w:pos="851"/>
          <w:tab w:val="left" w:pos="993"/>
        </w:tabs>
        <w:spacing w:after="120"/>
        <w:ind w:firstLine="426"/>
        <w:jc w:val="both"/>
        <w:rPr>
          <w:sz w:val="28"/>
          <w:szCs w:val="28"/>
        </w:rPr>
      </w:pPr>
      <w:r>
        <w:rPr>
          <w:sz w:val="28"/>
          <w:szCs w:val="28"/>
        </w:rPr>
        <w:t xml:space="preserve">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 </w:t>
      </w:r>
    </w:p>
    <w:p w:rsidR="008D106E" w:rsidRDefault="008D106E" w:rsidP="008D106E">
      <w:pPr>
        <w:tabs>
          <w:tab w:val="left" w:pos="851"/>
          <w:tab w:val="left" w:pos="993"/>
        </w:tabs>
        <w:spacing w:after="120"/>
        <w:ind w:firstLine="426"/>
        <w:jc w:val="both"/>
        <w:rPr>
          <w:sz w:val="28"/>
          <w:szCs w:val="28"/>
        </w:rPr>
      </w:pPr>
      <w:r>
        <w:rPr>
          <w:sz w:val="28"/>
          <w:szCs w:val="28"/>
        </w:rPr>
        <w:t>Для каждого финансового показателя рассчитывается средневзвешенная его величина с использованием весовых коэффициентов отчетных дат.</w:t>
      </w:r>
    </w:p>
    <w:p w:rsidR="008D106E" w:rsidRDefault="008D106E" w:rsidP="008D106E">
      <w:pPr>
        <w:tabs>
          <w:tab w:val="left" w:pos="851"/>
          <w:tab w:val="left" w:pos="993"/>
        </w:tabs>
        <w:spacing w:after="120"/>
        <w:ind w:firstLine="426"/>
        <w:jc w:val="both"/>
        <w:rPr>
          <w:sz w:val="28"/>
          <w:szCs w:val="28"/>
          <w:lang w:val="en-US"/>
        </w:rPr>
      </w:pPr>
      <w:r>
        <w:rPr>
          <w:position w:val="-30"/>
          <w:sz w:val="28"/>
          <w:szCs w:val="28"/>
        </w:rPr>
        <w:object w:dxaOrig="4425" w:dyaOrig="1005" w14:anchorId="2EA1E74F">
          <v:shape id="_x0000_i1032" type="#_x0000_t75" style="width:221pt;height:50.1pt" o:ole="">
            <v:imagedata r:id="rId28" o:title=""/>
          </v:shape>
          <o:OLEObject Type="Embed" ProgID="Equation.3" ShapeID="_x0000_i1032" DrawAspect="Content" ObjectID="_1523452639" r:id="rId29"/>
        </w:object>
      </w:r>
    </w:p>
    <w:p w:rsidR="008D106E" w:rsidRDefault="008D106E" w:rsidP="008D106E">
      <w:pPr>
        <w:tabs>
          <w:tab w:val="left" w:pos="851"/>
          <w:tab w:val="left" w:pos="993"/>
        </w:tabs>
        <w:spacing w:after="120"/>
        <w:ind w:firstLine="426"/>
        <w:jc w:val="right"/>
        <w:rPr>
          <w:sz w:val="28"/>
          <w:szCs w:val="28"/>
        </w:rPr>
      </w:pPr>
      <w:r>
        <w:rPr>
          <w:sz w:val="28"/>
          <w:szCs w:val="28"/>
        </w:rPr>
        <w:t>Таблица Весовые коэффициенты отчетных дат</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3"/>
        <w:gridCol w:w="2883"/>
        <w:gridCol w:w="2884"/>
      </w:tblGrid>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Предпоследний завершенный финансовый год</w:t>
            </w:r>
          </w:p>
        </w:tc>
        <w:tc>
          <w:tcPr>
            <w:tcW w:w="288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Последний завершенный финансовый год</w:t>
            </w:r>
          </w:p>
        </w:tc>
        <w:tc>
          <w:tcPr>
            <w:tcW w:w="288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Последняя отчетная дата незавершенного финансового года</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25%</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50%</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25%</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33,3%</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66,7%</w:t>
            </w:r>
          </w:p>
        </w:tc>
        <w:tc>
          <w:tcPr>
            <w:tcW w:w="2883"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66,7%</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33,3%</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2"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100%</w:t>
            </w:r>
          </w:p>
        </w:tc>
      </w:tr>
    </w:tbl>
    <w:p w:rsidR="008D106E" w:rsidRPr="008D106E" w:rsidRDefault="008D106E" w:rsidP="008D106E">
      <w:pPr>
        <w:tabs>
          <w:tab w:val="left" w:pos="851"/>
          <w:tab w:val="left" w:pos="993"/>
        </w:tabs>
        <w:spacing w:before="120" w:after="120"/>
        <w:ind w:firstLine="426"/>
        <w:jc w:val="right"/>
        <w:rPr>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6.</w:t>
      </w:r>
      <w:r w:rsidR="00061F3C">
        <w:rPr>
          <w:sz w:val="28"/>
          <w:szCs w:val="28"/>
        </w:rPr>
        <w:t>5</w:t>
      </w:r>
      <w:r>
        <w:rPr>
          <w:sz w:val="28"/>
          <w:szCs w:val="28"/>
        </w:rPr>
        <w:t xml:space="preserve">. После того как каждому средневзвешенному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нормальному значению показателя), осуществляется оценка финансового состояния. </w:t>
      </w:r>
    </w:p>
    <w:p w:rsidR="008D106E" w:rsidRDefault="008D106E" w:rsidP="008D106E">
      <w:pPr>
        <w:tabs>
          <w:tab w:val="left" w:pos="851"/>
          <w:tab w:val="left" w:pos="993"/>
        </w:tabs>
        <w:spacing w:after="120"/>
        <w:ind w:firstLine="426"/>
        <w:jc w:val="both"/>
        <w:rPr>
          <w:sz w:val="28"/>
          <w:szCs w:val="28"/>
        </w:rPr>
      </w:pPr>
      <w:r>
        <w:rPr>
          <w:sz w:val="28"/>
          <w:szCs w:val="28"/>
        </w:rPr>
        <w:t xml:space="preserve">Весовой коэффициент каждого средневзвешенного  показателя принимается </w:t>
      </w:r>
      <w:proofErr w:type="gramStart"/>
      <w:r>
        <w:rPr>
          <w:sz w:val="28"/>
          <w:szCs w:val="28"/>
        </w:rPr>
        <w:t>равным</w:t>
      </w:r>
      <w:proofErr w:type="gramEnd"/>
      <w:r>
        <w:rPr>
          <w:sz w:val="28"/>
          <w:szCs w:val="28"/>
        </w:rPr>
        <w:t xml:space="preserve"> 1. </w:t>
      </w:r>
    </w:p>
    <w:p w:rsidR="008D106E" w:rsidRDefault="008D106E" w:rsidP="008D106E">
      <w:pPr>
        <w:tabs>
          <w:tab w:val="left" w:pos="851"/>
          <w:tab w:val="left" w:pos="993"/>
        </w:tabs>
        <w:spacing w:after="120"/>
        <w:ind w:firstLine="426"/>
        <w:jc w:val="both"/>
        <w:rPr>
          <w:sz w:val="28"/>
          <w:szCs w:val="28"/>
        </w:rPr>
      </w:pPr>
      <w:r>
        <w:rPr>
          <w:sz w:val="28"/>
          <w:szCs w:val="28"/>
        </w:rPr>
        <w:t xml:space="preserve">Среднее арифметическое значение всех показателей используется для оценки финансового состояния Участника. </w:t>
      </w:r>
    </w:p>
    <w:p w:rsidR="008D106E" w:rsidRDefault="008D106E" w:rsidP="008D106E">
      <w:pPr>
        <w:tabs>
          <w:tab w:val="left" w:pos="851"/>
          <w:tab w:val="left" w:pos="993"/>
        </w:tabs>
        <w:spacing w:after="120"/>
        <w:ind w:firstLine="426"/>
        <w:jc w:val="both"/>
        <w:rPr>
          <w:sz w:val="28"/>
          <w:szCs w:val="28"/>
        </w:rPr>
      </w:pPr>
      <w:r>
        <w:rPr>
          <w:sz w:val="28"/>
          <w:szCs w:val="28"/>
        </w:rPr>
        <w:t xml:space="preserve">Финансовое состояние Участника определяется в соответствии с таблицей оценки финансового состояния Участника. </w:t>
      </w:r>
    </w:p>
    <w:p w:rsidR="008D106E" w:rsidRDefault="008D106E" w:rsidP="008D106E">
      <w:pPr>
        <w:tabs>
          <w:tab w:val="left" w:pos="851"/>
          <w:tab w:val="left" w:pos="993"/>
        </w:tabs>
        <w:spacing w:after="120"/>
        <w:ind w:firstLine="426"/>
        <w:jc w:val="right"/>
        <w:rPr>
          <w:sz w:val="28"/>
          <w:szCs w:val="28"/>
        </w:rPr>
      </w:pPr>
      <w:r>
        <w:rPr>
          <w:sz w:val="28"/>
          <w:szCs w:val="28"/>
        </w:rPr>
        <w:t>Таблица оценки финансового состояния Участника</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6"/>
        <w:gridCol w:w="5635"/>
      </w:tblGrid>
      <w:tr w:rsidR="008D106E" w:rsidTr="008D106E">
        <w:trPr>
          <w:trHeight w:val="542"/>
        </w:trPr>
        <w:tc>
          <w:tcPr>
            <w:tcW w:w="3736"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lastRenderedPageBreak/>
              <w:t>Решение о соответствии/несоответствии</w:t>
            </w:r>
          </w:p>
        </w:tc>
        <w:tc>
          <w:tcPr>
            <w:tcW w:w="5635"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Описание</w:t>
            </w:r>
          </w:p>
        </w:tc>
      </w:tr>
      <w:tr w:rsidR="008D106E" w:rsidTr="008D106E">
        <w:trPr>
          <w:trHeight w:val="576"/>
        </w:trPr>
        <w:tc>
          <w:tcPr>
            <w:tcW w:w="3736"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rPr>
                <w:color w:val="000000"/>
                <w:sz w:val="28"/>
                <w:szCs w:val="28"/>
                <w:lang w:val="en-US" w:eastAsia="en-US"/>
              </w:rPr>
            </w:pPr>
            <w:r>
              <w:rPr>
                <w:color w:val="000000"/>
                <w:sz w:val="28"/>
                <w:szCs w:val="28"/>
                <w:lang w:eastAsia="en-US"/>
              </w:rPr>
              <w:t xml:space="preserve">Кризисное </w:t>
            </w:r>
          </w:p>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финансовое состояние</w:t>
            </w:r>
          </w:p>
        </w:tc>
        <w:tc>
          <w:tcPr>
            <w:tcW w:w="5635" w:type="dxa"/>
            <w:tcBorders>
              <w:top w:val="single" w:sz="4" w:space="0" w:color="auto"/>
              <w:left w:val="single" w:sz="4" w:space="0" w:color="auto"/>
              <w:bottom w:val="single" w:sz="4" w:space="0" w:color="auto"/>
              <w:right w:val="single" w:sz="4" w:space="0" w:color="auto"/>
            </w:tcBorders>
            <w:shd w:val="clear" w:color="auto" w:fill="FFE5E5"/>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менее 0,45 баллов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(по шкале от 0 до 1) </w:t>
            </w:r>
          </w:p>
        </w:tc>
      </w:tr>
      <w:tr w:rsidR="008D106E" w:rsidTr="008D106E">
        <w:trPr>
          <w:trHeight w:val="1111"/>
        </w:trPr>
        <w:tc>
          <w:tcPr>
            <w:tcW w:w="3736" w:type="dxa"/>
            <w:tcBorders>
              <w:top w:val="single" w:sz="4" w:space="0" w:color="auto"/>
              <w:left w:val="single" w:sz="4" w:space="0" w:color="auto"/>
              <w:bottom w:val="single" w:sz="4" w:space="0" w:color="auto"/>
              <w:right w:val="single" w:sz="4" w:space="0" w:color="auto"/>
            </w:tcBorders>
            <w:shd w:val="clear" w:color="auto" w:fill="F8FFB9"/>
            <w:noWrap/>
            <w:vAlign w:val="center"/>
            <w:hideMark/>
          </w:tcPr>
          <w:p w:rsidR="008D106E" w:rsidRDefault="008D106E">
            <w:pPr>
              <w:tabs>
                <w:tab w:val="left" w:pos="851"/>
                <w:tab w:val="left" w:pos="993"/>
              </w:tabs>
              <w:spacing w:line="276" w:lineRule="auto"/>
              <w:rPr>
                <w:color w:val="000000"/>
                <w:sz w:val="28"/>
                <w:szCs w:val="28"/>
                <w:lang w:val="en-US" w:eastAsia="en-US"/>
              </w:rPr>
            </w:pPr>
            <w:r>
              <w:rPr>
                <w:color w:val="000000"/>
                <w:sz w:val="28"/>
                <w:szCs w:val="28"/>
                <w:lang w:eastAsia="en-US"/>
              </w:rPr>
              <w:t xml:space="preserve">Неустойчивое </w:t>
            </w:r>
          </w:p>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 xml:space="preserve">финансовое состояние </w:t>
            </w:r>
          </w:p>
        </w:tc>
        <w:tc>
          <w:tcPr>
            <w:tcW w:w="5635" w:type="dxa"/>
            <w:tcBorders>
              <w:top w:val="single" w:sz="4" w:space="0" w:color="auto"/>
              <w:left w:val="single" w:sz="4" w:space="0" w:color="auto"/>
              <w:bottom w:val="single" w:sz="4" w:space="0" w:color="auto"/>
              <w:right w:val="single" w:sz="4" w:space="0" w:color="auto"/>
            </w:tcBorders>
            <w:shd w:val="clear" w:color="auto" w:fill="F8FFB9"/>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от 0,45 включительно до 0,9 баллов включительно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(по шкале от 0 до 1)</w:t>
            </w:r>
          </w:p>
        </w:tc>
      </w:tr>
      <w:tr w:rsidR="008D106E" w:rsidTr="008D106E">
        <w:trPr>
          <w:trHeight w:val="556"/>
        </w:trPr>
        <w:tc>
          <w:tcPr>
            <w:tcW w:w="3736" w:type="dxa"/>
            <w:tcBorders>
              <w:top w:val="single" w:sz="4" w:space="0" w:color="auto"/>
              <w:left w:val="single" w:sz="4" w:space="0" w:color="auto"/>
              <w:bottom w:val="single" w:sz="4" w:space="0" w:color="auto"/>
              <w:right w:val="single" w:sz="4" w:space="0" w:color="auto"/>
            </w:tcBorders>
            <w:shd w:val="clear" w:color="auto" w:fill="C6FED1"/>
            <w:noWrap/>
            <w:vAlign w:val="center"/>
            <w:hideMark/>
          </w:tcPr>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Удовлетворительное финансовое состояние</w:t>
            </w:r>
          </w:p>
        </w:tc>
        <w:tc>
          <w:tcPr>
            <w:tcW w:w="5635" w:type="dxa"/>
            <w:tcBorders>
              <w:top w:val="single" w:sz="4" w:space="0" w:color="auto"/>
              <w:left w:val="single" w:sz="4" w:space="0" w:color="auto"/>
              <w:bottom w:val="single" w:sz="4" w:space="0" w:color="auto"/>
              <w:right w:val="single" w:sz="4" w:space="0" w:color="auto"/>
            </w:tcBorders>
            <w:shd w:val="clear" w:color="auto" w:fill="C6FED1"/>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более 0,9 баллов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(по шкале от 0 до 1)</w:t>
            </w:r>
          </w:p>
        </w:tc>
      </w:tr>
    </w:tbl>
    <w:p w:rsidR="008D106E" w:rsidRDefault="008D106E" w:rsidP="008D106E">
      <w:pPr>
        <w:tabs>
          <w:tab w:val="left" w:pos="851"/>
          <w:tab w:val="left" w:pos="993"/>
        </w:tabs>
        <w:spacing w:after="120"/>
        <w:ind w:firstLine="426"/>
        <w:jc w:val="both"/>
        <w:rPr>
          <w:sz w:val="28"/>
          <w:szCs w:val="28"/>
        </w:rPr>
      </w:pPr>
      <w:r>
        <w:rPr>
          <w:sz w:val="28"/>
          <w:szCs w:val="28"/>
        </w:rPr>
        <w:t xml:space="preserve">При наличии оценки «Кризисное финансовое состояние» заявка Участника должна быть рекомендована к отклонению. </w:t>
      </w:r>
    </w:p>
    <w:p w:rsidR="008D106E" w:rsidRDefault="008D106E" w:rsidP="008D106E">
      <w:pPr>
        <w:tabs>
          <w:tab w:val="left" w:pos="851"/>
          <w:tab w:val="left" w:pos="993"/>
        </w:tabs>
        <w:spacing w:after="120"/>
        <w:ind w:firstLine="426"/>
        <w:jc w:val="both"/>
        <w:rPr>
          <w:sz w:val="28"/>
          <w:szCs w:val="28"/>
        </w:rPr>
      </w:pPr>
      <w:r>
        <w:rPr>
          <w:sz w:val="28"/>
          <w:szCs w:val="28"/>
        </w:rPr>
        <w:t xml:space="preserve">Оценка «Неустойчивое финансовое состояние» приравнивается к «ограничивающему фактору» и используется для принятия решений о несоответствии Участника критериям оценки в соответствии с пунктом 7 раздела 5 настоящей Методики. </w:t>
      </w:r>
    </w:p>
    <w:p w:rsidR="008D106E" w:rsidRDefault="008D106E" w:rsidP="008D106E">
      <w:pPr>
        <w:tabs>
          <w:tab w:val="left" w:pos="851"/>
          <w:tab w:val="left" w:pos="993"/>
        </w:tabs>
        <w:spacing w:after="120"/>
        <w:ind w:firstLine="426"/>
        <w:jc w:val="both"/>
        <w:rPr>
          <w:sz w:val="28"/>
          <w:szCs w:val="28"/>
        </w:rPr>
      </w:pPr>
      <w:r>
        <w:rPr>
          <w:sz w:val="28"/>
          <w:szCs w:val="28"/>
        </w:rPr>
        <w:t xml:space="preserve">Оценка «Удовлетворительное финансовое состояние» свидетельствует о соответствии Участника требованиям закупочной документации. </w:t>
      </w:r>
    </w:p>
    <w:p w:rsidR="008D106E" w:rsidRDefault="008D106E" w:rsidP="008D106E">
      <w:pPr>
        <w:tabs>
          <w:tab w:val="left" w:pos="851"/>
          <w:tab w:val="left" w:pos="993"/>
        </w:tabs>
        <w:spacing w:after="120"/>
        <w:ind w:firstLine="426"/>
        <w:jc w:val="both"/>
        <w:rPr>
          <w:sz w:val="28"/>
          <w:szCs w:val="28"/>
        </w:rPr>
      </w:pPr>
      <w:r>
        <w:rPr>
          <w:sz w:val="28"/>
          <w:szCs w:val="28"/>
        </w:rPr>
        <w:t>По результатам оценки деловой репутации и финансово-экономического состояния Участника составляется Экспертное заключение по форме приложения к настоящей Методике.</w:t>
      </w:r>
    </w:p>
    <w:p w:rsidR="008D106E" w:rsidRDefault="008D106E" w:rsidP="008D106E">
      <w:pPr>
        <w:tabs>
          <w:tab w:val="left" w:pos="851"/>
          <w:tab w:val="left" w:pos="993"/>
        </w:tabs>
        <w:spacing w:after="120"/>
        <w:ind w:firstLine="426"/>
        <w:jc w:val="both"/>
        <w:rPr>
          <w:sz w:val="28"/>
          <w:szCs w:val="28"/>
        </w:rPr>
      </w:pPr>
    </w:p>
    <w:p w:rsidR="008D106E" w:rsidRDefault="008D106E" w:rsidP="008D106E">
      <w:pPr>
        <w:tabs>
          <w:tab w:val="left" w:pos="851"/>
          <w:tab w:val="left" w:pos="993"/>
        </w:tabs>
        <w:ind w:firstLine="426"/>
        <w:jc w:val="right"/>
        <w:rPr>
          <w:sz w:val="28"/>
          <w:szCs w:val="28"/>
        </w:rPr>
      </w:pPr>
      <w:r>
        <w:rPr>
          <w:sz w:val="28"/>
          <w:szCs w:val="28"/>
        </w:rPr>
        <w:br w:type="page"/>
      </w:r>
      <w:r>
        <w:rPr>
          <w:sz w:val="28"/>
          <w:szCs w:val="28"/>
        </w:rPr>
        <w:lastRenderedPageBreak/>
        <w:t>Приложение к Методике</w:t>
      </w:r>
    </w:p>
    <w:p w:rsidR="008D106E" w:rsidRDefault="008D106E" w:rsidP="008D106E">
      <w:pPr>
        <w:tabs>
          <w:tab w:val="left" w:pos="851"/>
          <w:tab w:val="left" w:pos="993"/>
        </w:tabs>
        <w:ind w:firstLine="426"/>
        <w:jc w:val="right"/>
        <w:rPr>
          <w:sz w:val="28"/>
          <w:szCs w:val="28"/>
        </w:rPr>
      </w:pPr>
    </w:p>
    <w:p w:rsidR="008D106E" w:rsidRDefault="008D106E" w:rsidP="008D106E">
      <w:pPr>
        <w:tabs>
          <w:tab w:val="left" w:pos="851"/>
          <w:tab w:val="left" w:pos="993"/>
        </w:tabs>
        <w:ind w:firstLine="426"/>
        <w:jc w:val="right"/>
        <w:rPr>
          <w:sz w:val="28"/>
          <w:szCs w:val="28"/>
        </w:rPr>
      </w:pPr>
      <w:r>
        <w:rPr>
          <w:sz w:val="28"/>
          <w:szCs w:val="28"/>
        </w:rPr>
        <w:t>Форма Экспертного заключения</w:t>
      </w:r>
    </w:p>
    <w:p w:rsidR="008D106E" w:rsidRDefault="008D106E" w:rsidP="008D106E">
      <w:pPr>
        <w:tabs>
          <w:tab w:val="left" w:pos="851"/>
          <w:tab w:val="left" w:pos="993"/>
        </w:tabs>
        <w:spacing w:after="120"/>
        <w:ind w:firstLine="426"/>
        <w:jc w:val="right"/>
        <w:rPr>
          <w:sz w:val="28"/>
          <w:szCs w:val="28"/>
        </w:rPr>
      </w:pPr>
    </w:p>
    <w:p w:rsidR="008D106E" w:rsidRDefault="008D106E" w:rsidP="008D106E">
      <w:pPr>
        <w:jc w:val="center"/>
        <w:rPr>
          <w:b/>
          <w:sz w:val="28"/>
          <w:szCs w:val="28"/>
        </w:rPr>
      </w:pPr>
      <w:r>
        <w:rPr>
          <w:b/>
          <w:sz w:val="28"/>
          <w:szCs w:val="28"/>
        </w:rPr>
        <w:t>ЭКСПЕРТНОЕ ЗАКЛЮЧЕНИЕ № ****</w:t>
      </w:r>
    </w:p>
    <w:p w:rsidR="008D106E" w:rsidRDefault="008D106E" w:rsidP="008D106E">
      <w:pPr>
        <w:jc w:val="center"/>
        <w:rPr>
          <w:sz w:val="28"/>
          <w:szCs w:val="28"/>
        </w:rPr>
      </w:pPr>
    </w:p>
    <w:p w:rsidR="008D106E" w:rsidRDefault="008D106E" w:rsidP="008D106E">
      <w:pPr>
        <w:suppressAutoHyphens/>
        <w:jc w:val="center"/>
        <w:rPr>
          <w:b/>
          <w:sz w:val="28"/>
          <w:szCs w:val="28"/>
        </w:rPr>
      </w:pPr>
      <w:r>
        <w:rPr>
          <w:b/>
          <w:sz w:val="28"/>
          <w:szCs w:val="28"/>
        </w:rPr>
        <w:t xml:space="preserve">По рассмотрению предложений Участников </w:t>
      </w:r>
    </w:p>
    <w:p w:rsidR="008D106E" w:rsidRDefault="008D106E" w:rsidP="008D106E">
      <w:pPr>
        <w:suppressAutoHyphens/>
        <w:jc w:val="center"/>
        <w:rPr>
          <w:sz w:val="28"/>
          <w:szCs w:val="28"/>
        </w:rPr>
      </w:pPr>
      <w:r>
        <w:rPr>
          <w:b/>
          <w:sz w:val="28"/>
          <w:szCs w:val="28"/>
        </w:rPr>
        <w:t>НАЗВАНИЕ ЗАКУПОЧНОЙ  ПРОЦЕДУРЫ (№ Лота</w:t>
      </w:r>
      <w:r>
        <w:rPr>
          <w:sz w:val="28"/>
          <w:szCs w:val="28"/>
        </w:rPr>
        <w:t>)</w:t>
      </w:r>
    </w:p>
    <w:p w:rsidR="008D106E" w:rsidRDefault="008D106E" w:rsidP="008D106E">
      <w:pPr>
        <w:suppressAutoHyphens/>
        <w:jc w:val="center"/>
        <w:rPr>
          <w:b/>
          <w:sz w:val="28"/>
          <w:szCs w:val="28"/>
        </w:rPr>
      </w:pPr>
    </w:p>
    <w:p w:rsidR="008D106E" w:rsidRDefault="008D106E" w:rsidP="008D106E">
      <w:pPr>
        <w:ind w:firstLine="426"/>
        <w:jc w:val="both"/>
        <w:rPr>
          <w:sz w:val="28"/>
          <w:szCs w:val="28"/>
        </w:rPr>
      </w:pPr>
      <w:r>
        <w:rPr>
          <w:sz w:val="28"/>
          <w:szCs w:val="28"/>
        </w:rPr>
        <w:t>Экспертом рассмотрены предложения Участников закупочной процедуры и проверены документы (конкурсная документация), представленные следующими организациями:</w:t>
      </w:r>
    </w:p>
    <w:p w:rsidR="008D106E" w:rsidRDefault="008D106E" w:rsidP="008D106E">
      <w:pPr>
        <w:pStyle w:val="a5"/>
        <w:tabs>
          <w:tab w:val="left" w:pos="993"/>
        </w:tabs>
        <w:ind w:left="1080"/>
        <w:jc w:val="both"/>
        <w:rPr>
          <w:b/>
          <w:sz w:val="28"/>
          <w:szCs w:val="28"/>
        </w:rPr>
      </w:pPr>
    </w:p>
    <w:p w:rsidR="008D106E" w:rsidRDefault="008D106E" w:rsidP="008D106E">
      <w:pPr>
        <w:pStyle w:val="a5"/>
        <w:numPr>
          <w:ilvl w:val="0"/>
          <w:numId w:val="18"/>
        </w:numPr>
        <w:tabs>
          <w:tab w:val="left" w:pos="993"/>
        </w:tabs>
        <w:jc w:val="both"/>
        <w:rPr>
          <w:sz w:val="28"/>
          <w:szCs w:val="28"/>
        </w:rPr>
      </w:pPr>
      <w:r>
        <w:rPr>
          <w:sz w:val="28"/>
          <w:szCs w:val="28"/>
        </w:rPr>
        <w:t xml:space="preserve">Участник (ИНН, стоимость заявки).  </w:t>
      </w:r>
    </w:p>
    <w:p w:rsidR="008D106E" w:rsidRDefault="008D106E" w:rsidP="008D106E">
      <w:pPr>
        <w:pStyle w:val="a5"/>
        <w:numPr>
          <w:ilvl w:val="0"/>
          <w:numId w:val="18"/>
        </w:numPr>
        <w:tabs>
          <w:tab w:val="left" w:pos="993"/>
        </w:tabs>
        <w:jc w:val="both"/>
        <w:rPr>
          <w:sz w:val="28"/>
          <w:szCs w:val="28"/>
        </w:rPr>
      </w:pPr>
      <w:r>
        <w:rPr>
          <w:sz w:val="28"/>
          <w:szCs w:val="28"/>
        </w:rPr>
        <w:t>Участник (ИНН, стоимость заявки).</w:t>
      </w:r>
    </w:p>
    <w:p w:rsidR="008D106E" w:rsidRDefault="008D106E" w:rsidP="008D106E">
      <w:pPr>
        <w:pStyle w:val="a5"/>
        <w:tabs>
          <w:tab w:val="left" w:pos="993"/>
        </w:tabs>
        <w:jc w:val="both"/>
        <w:rPr>
          <w:sz w:val="28"/>
          <w:szCs w:val="28"/>
        </w:rPr>
      </w:pPr>
    </w:p>
    <w:p w:rsidR="008D106E" w:rsidRDefault="008D106E" w:rsidP="008D106E">
      <w:pPr>
        <w:pStyle w:val="a5"/>
        <w:tabs>
          <w:tab w:val="left" w:pos="993"/>
        </w:tabs>
        <w:jc w:val="center"/>
        <w:rPr>
          <w:b/>
          <w:sz w:val="28"/>
          <w:szCs w:val="28"/>
        </w:rPr>
      </w:pPr>
      <w:r>
        <w:rPr>
          <w:b/>
          <w:sz w:val="28"/>
          <w:szCs w:val="28"/>
        </w:rPr>
        <w:t>АННОТАЦИЯ</w:t>
      </w:r>
    </w:p>
    <w:p w:rsidR="008D106E" w:rsidRDefault="008D106E" w:rsidP="008D106E">
      <w:pPr>
        <w:pStyle w:val="a5"/>
        <w:tabs>
          <w:tab w:val="left" w:pos="993"/>
        </w:tabs>
        <w:jc w:val="center"/>
        <w:rPr>
          <w:b/>
          <w:sz w:val="28"/>
          <w:szCs w:val="28"/>
        </w:rPr>
      </w:pPr>
    </w:p>
    <w:p w:rsidR="008D106E" w:rsidRDefault="008D106E" w:rsidP="008D106E">
      <w:pPr>
        <w:ind w:firstLine="720"/>
        <w:jc w:val="both"/>
        <w:rPr>
          <w:sz w:val="28"/>
          <w:szCs w:val="28"/>
        </w:rPr>
      </w:pPr>
      <w:r>
        <w:rPr>
          <w:sz w:val="28"/>
          <w:szCs w:val="28"/>
        </w:rPr>
        <w:t>В настоящем Экспертном заключении приведены результаты экспертизы предложений Участников закупочной процедуры по следующим критериям:</w:t>
      </w:r>
    </w:p>
    <w:p w:rsidR="008D106E" w:rsidRDefault="008D106E" w:rsidP="008D106E">
      <w:pPr>
        <w:pStyle w:val="a"/>
        <w:numPr>
          <w:ilvl w:val="0"/>
          <w:numId w:val="35"/>
        </w:numPr>
        <w:tabs>
          <w:tab w:val="left" w:pos="851"/>
          <w:tab w:val="left" w:pos="993"/>
          <w:tab w:val="left" w:pos="1134"/>
        </w:tabs>
        <w:spacing w:after="120" w:line="240" w:lineRule="auto"/>
        <w:ind w:left="0" w:firstLine="567"/>
        <w:rPr>
          <w:szCs w:val="28"/>
        </w:rPr>
      </w:pPr>
      <w:r>
        <w:rPr>
          <w:szCs w:val="28"/>
        </w:rPr>
        <w:t>Отсутствие сведения об Участнике в разделе «Реестр недобросовестных поставщиков», размещенном на Официальном сайте.</w:t>
      </w:r>
    </w:p>
    <w:p w:rsidR="008D106E" w:rsidRDefault="008D106E" w:rsidP="008D106E">
      <w:pPr>
        <w:pStyle w:val="a"/>
        <w:numPr>
          <w:ilvl w:val="0"/>
          <w:numId w:val="35"/>
        </w:numPr>
        <w:tabs>
          <w:tab w:val="left" w:pos="709"/>
          <w:tab w:val="left" w:pos="993"/>
          <w:tab w:val="left" w:pos="1134"/>
        </w:tabs>
        <w:spacing w:after="120" w:line="240" w:lineRule="auto"/>
        <w:ind w:left="0" w:firstLine="567"/>
        <w:rPr>
          <w:szCs w:val="28"/>
        </w:rPr>
      </w:pPr>
      <w:r>
        <w:rPr>
          <w:szCs w:val="28"/>
        </w:rPr>
        <w:t xml:space="preserve">Участник не должен являться банкротом или иметь признаки банкротства, находиться в процессе ликвидации. Экономическая деятельность Участника Закупочной процедуры не должна быть приостановлена. </w:t>
      </w:r>
    </w:p>
    <w:p w:rsidR="008D106E" w:rsidRDefault="008E5E40" w:rsidP="008D106E">
      <w:pPr>
        <w:pStyle w:val="a"/>
        <w:numPr>
          <w:ilvl w:val="0"/>
          <w:numId w:val="35"/>
        </w:numPr>
        <w:tabs>
          <w:tab w:val="left" w:pos="709"/>
          <w:tab w:val="left" w:pos="993"/>
          <w:tab w:val="left" w:pos="1134"/>
        </w:tabs>
        <w:spacing w:after="120" w:line="240" w:lineRule="auto"/>
        <w:ind w:left="0" w:firstLine="567"/>
        <w:rPr>
          <w:szCs w:val="28"/>
        </w:rPr>
      </w:pPr>
      <w:r w:rsidRPr="00F17DA1">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8D106E">
        <w:rPr>
          <w:szCs w:val="28"/>
        </w:rPr>
        <w:t>.</w:t>
      </w:r>
    </w:p>
    <w:p w:rsidR="008D106E" w:rsidRDefault="008D106E" w:rsidP="008D106E">
      <w:pPr>
        <w:numPr>
          <w:ilvl w:val="0"/>
          <w:numId w:val="35"/>
        </w:numPr>
        <w:tabs>
          <w:tab w:val="left" w:pos="993"/>
        </w:tabs>
        <w:spacing w:after="120"/>
        <w:ind w:left="0" w:firstLine="567"/>
        <w:jc w:val="both"/>
        <w:rPr>
          <w:sz w:val="28"/>
          <w:szCs w:val="28"/>
        </w:rPr>
      </w:pPr>
      <w:r>
        <w:rPr>
          <w:sz w:val="28"/>
          <w:szCs w:val="28"/>
        </w:rPr>
        <w:t xml:space="preserve">Отсутствие аффилированности Участника Закупочной процедуры по отношению к одному и более другим Участникам конкурса (наличие аффилированности определяется в соответствии с антимонопольным законодательством Российской Федерации). </w:t>
      </w:r>
    </w:p>
    <w:p w:rsidR="008D106E" w:rsidRDefault="008D106E" w:rsidP="008D106E">
      <w:pPr>
        <w:numPr>
          <w:ilvl w:val="0"/>
          <w:numId w:val="35"/>
        </w:numPr>
        <w:tabs>
          <w:tab w:val="left" w:pos="567"/>
          <w:tab w:val="left" w:pos="993"/>
        </w:tabs>
        <w:spacing w:after="120"/>
        <w:ind w:left="0" w:firstLine="567"/>
        <w:jc w:val="both"/>
        <w:rPr>
          <w:sz w:val="28"/>
          <w:szCs w:val="28"/>
        </w:rPr>
      </w:pPr>
      <w:r>
        <w:rPr>
          <w:sz w:val="28"/>
          <w:szCs w:val="28"/>
        </w:rPr>
        <w:t>Отсутствие оснований предполагать о существовании между Участниками согласованных действий с целью повлиять на определение выбора победителя Закупочной процедуры.</w:t>
      </w:r>
    </w:p>
    <w:p w:rsidR="008D106E" w:rsidRDefault="008D106E" w:rsidP="008D106E">
      <w:pPr>
        <w:numPr>
          <w:ilvl w:val="0"/>
          <w:numId w:val="35"/>
        </w:numPr>
        <w:tabs>
          <w:tab w:val="left" w:pos="567"/>
          <w:tab w:val="left" w:pos="993"/>
        </w:tabs>
        <w:spacing w:after="120"/>
        <w:ind w:left="0" w:firstLine="567"/>
        <w:jc w:val="both"/>
        <w:rPr>
          <w:sz w:val="28"/>
          <w:szCs w:val="28"/>
        </w:rPr>
      </w:pPr>
      <w:r>
        <w:rPr>
          <w:sz w:val="28"/>
          <w:szCs w:val="28"/>
        </w:rPr>
        <w:lastRenderedPageBreak/>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разделом 6 настоящей Методики.</w:t>
      </w:r>
    </w:p>
    <w:p w:rsidR="00E9687C" w:rsidRDefault="003331E7" w:rsidP="00E9687C">
      <w:pPr>
        <w:numPr>
          <w:ilvl w:val="0"/>
          <w:numId w:val="35"/>
        </w:numPr>
        <w:tabs>
          <w:tab w:val="left" w:pos="567"/>
          <w:tab w:val="left" w:pos="993"/>
        </w:tabs>
        <w:spacing w:after="120"/>
        <w:ind w:left="0" w:firstLine="567"/>
        <w:jc w:val="both"/>
        <w:rPr>
          <w:sz w:val="28"/>
          <w:szCs w:val="28"/>
        </w:rPr>
      </w:pPr>
      <w:r>
        <w:rPr>
          <w:sz w:val="28"/>
          <w:szCs w:val="28"/>
        </w:rPr>
        <w:t>Отсутствие в представленных Участником данных недостоверных сведений</w:t>
      </w:r>
      <w:r w:rsidR="00E9687C">
        <w:rPr>
          <w:sz w:val="28"/>
          <w:szCs w:val="28"/>
        </w:rPr>
        <w:t>.</w:t>
      </w:r>
    </w:p>
    <w:p w:rsidR="008D106E" w:rsidRDefault="008D106E" w:rsidP="008D106E">
      <w:pPr>
        <w:pStyle w:val="a4"/>
        <w:numPr>
          <w:ilvl w:val="0"/>
          <w:numId w:val="35"/>
        </w:numPr>
        <w:tabs>
          <w:tab w:val="left" w:pos="709"/>
          <w:tab w:val="left" w:pos="993"/>
        </w:tabs>
        <w:ind w:left="0" w:firstLine="567"/>
        <w:jc w:val="both"/>
        <w:rPr>
          <w:sz w:val="28"/>
          <w:szCs w:val="28"/>
        </w:rPr>
      </w:pPr>
      <w:r>
        <w:rPr>
          <w:sz w:val="28"/>
          <w:szCs w:val="28"/>
        </w:rPr>
        <w:t>Наличие не более 4 (четырех) ограничивающих факторов, указанных в разделе 5 Методике.</w:t>
      </w:r>
      <w:r>
        <w:rPr>
          <w:sz w:val="28"/>
          <w:szCs w:val="28"/>
        </w:rPr>
        <w:tab/>
      </w:r>
    </w:p>
    <w:p w:rsidR="00E9687C" w:rsidRDefault="00E9687C" w:rsidP="008D106E">
      <w:pPr>
        <w:numPr>
          <w:ilvl w:val="0"/>
          <w:numId w:val="21"/>
        </w:numPr>
        <w:tabs>
          <w:tab w:val="left" w:pos="709"/>
          <w:tab w:val="left" w:pos="851"/>
          <w:tab w:val="left" w:pos="993"/>
          <w:tab w:val="num" w:pos="1276"/>
        </w:tabs>
        <w:spacing w:after="120"/>
        <w:ind w:left="0" w:firstLine="709"/>
        <w:jc w:val="both"/>
        <w:rPr>
          <w:sz w:val="28"/>
          <w:szCs w:val="28"/>
        </w:rPr>
      </w:pPr>
      <w:r w:rsidRPr="00E9687C">
        <w:rPr>
          <w:sz w:val="28"/>
          <w:szCs w:val="28"/>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r>
        <w:rPr>
          <w:sz w:val="28"/>
          <w:szCs w:val="28"/>
        </w:rPr>
        <w:t>;</w:t>
      </w:r>
    </w:p>
    <w:p w:rsidR="008D106E" w:rsidRDefault="00454B99"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исполнительных производств в отношении Участника на сайте Федеральной службы судебных приставов (</w:t>
      </w:r>
      <w:hyperlink r:id="rId30" w:history="1">
        <w:r>
          <w:rPr>
            <w:rStyle w:val="ab"/>
            <w:sz w:val="28"/>
            <w:szCs w:val="28"/>
          </w:rPr>
          <w:t>http://fssprus.ru</w:t>
        </w:r>
      </w:hyperlink>
      <w:r>
        <w:rPr>
          <w:sz w:val="28"/>
          <w:szCs w:val="28"/>
        </w:rPr>
        <w:t>)</w:t>
      </w:r>
      <w:r w:rsidR="008D106E">
        <w:rPr>
          <w:sz w:val="28"/>
          <w:szCs w:val="28"/>
        </w:rPr>
        <w:t>;</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 xml:space="preserve">Массовый адрес регистрации Участника </w:t>
      </w:r>
      <w:r w:rsidR="001E3551">
        <w:rPr>
          <w:sz w:val="28"/>
          <w:szCs w:val="28"/>
        </w:rPr>
        <w:t>согласно данным сайта</w:t>
      </w:r>
      <w:r>
        <w:rPr>
          <w:sz w:val="28"/>
          <w:szCs w:val="28"/>
        </w:rPr>
        <w:t xml:space="preserve"> Федеральной налоговой службы (http://www.nalog.ru);</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8"/>
          <w:szCs w:val="28"/>
        </w:rPr>
        <w:t>к</w:t>
      </w:r>
      <w:proofErr w:type="gramEnd"/>
      <w:r>
        <w:rPr>
          <w:sz w:val="28"/>
          <w:szCs w:val="28"/>
        </w:rPr>
        <w:t xml:space="preserve"> мелким относятся банки, не входящие в рэнкинги ИНТЕРФАКС-100 на сайте: http://www.finmarket.ru);</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Неустойчивое финансовое состояние  по результатам оценки финансово-экономической устойчивости Участника, произведе</w:t>
      </w:r>
      <w:r w:rsidR="006563B7">
        <w:rPr>
          <w:sz w:val="28"/>
          <w:szCs w:val="28"/>
        </w:rPr>
        <w:t>нной в соответствии с разделом 6</w:t>
      </w:r>
      <w:r>
        <w:rPr>
          <w:sz w:val="28"/>
          <w:szCs w:val="28"/>
        </w:rPr>
        <w:t xml:space="preserve"> настоящей Методики.</w:t>
      </w:r>
    </w:p>
    <w:p w:rsidR="008D106E" w:rsidRDefault="008D106E" w:rsidP="008D106E">
      <w:pPr>
        <w:suppressAutoHyphens/>
        <w:jc w:val="center"/>
        <w:rPr>
          <w:b/>
          <w:bCs/>
        </w:rPr>
      </w:pPr>
    </w:p>
    <w:p w:rsidR="008D106E" w:rsidRDefault="008D106E" w:rsidP="008D106E">
      <w:pPr>
        <w:jc w:val="center"/>
        <w:rPr>
          <w:sz w:val="28"/>
          <w:szCs w:val="28"/>
        </w:rPr>
      </w:pPr>
      <w:r>
        <w:rPr>
          <w:b/>
          <w:sz w:val="28"/>
          <w:szCs w:val="28"/>
        </w:rPr>
        <w:t>РЕЗУЛЬТАТ ЭКПЕРТИЗЫ*</w:t>
      </w:r>
    </w:p>
    <w:p w:rsidR="008D106E" w:rsidRDefault="008D106E" w:rsidP="008D106E">
      <w:pPr>
        <w:jc w:val="both"/>
        <w:rPr>
          <w:sz w:val="28"/>
          <w:szCs w:val="28"/>
        </w:rPr>
      </w:pPr>
      <w:r>
        <w:rPr>
          <w:sz w:val="28"/>
          <w:szCs w:val="28"/>
        </w:rPr>
        <w:tab/>
        <w:t xml:space="preserve">В ходе проверки документов, представленных в Департамент экономической безопасности, режима, специальных видов работ и защиты информации (Службу экономической безопасности и режима), установлено следующее: </w:t>
      </w:r>
    </w:p>
    <w:p w:rsidR="008D106E" w:rsidRDefault="008D106E" w:rsidP="008D106E">
      <w:pPr>
        <w:jc w:val="both"/>
        <w:rPr>
          <w:sz w:val="28"/>
          <w:szCs w:val="28"/>
        </w:rPr>
      </w:pPr>
      <w:r>
        <w:rPr>
          <w:sz w:val="28"/>
          <w:szCs w:val="28"/>
        </w:rPr>
        <w:t xml:space="preserve">«Участник» - указывается несоответствие требованиям закупочной документации, с указанием пункта закупочной документации. </w:t>
      </w:r>
    </w:p>
    <w:p w:rsidR="008D106E" w:rsidRDefault="008D106E" w:rsidP="008D106E">
      <w:pPr>
        <w:jc w:val="both"/>
        <w:rPr>
          <w:sz w:val="28"/>
          <w:szCs w:val="28"/>
        </w:rPr>
      </w:pPr>
      <w:r>
        <w:rPr>
          <w:sz w:val="28"/>
          <w:szCs w:val="28"/>
        </w:rPr>
        <w:t>«_______» - ____________________________________________________.</w:t>
      </w:r>
    </w:p>
    <w:p w:rsidR="008D106E" w:rsidRDefault="008D106E" w:rsidP="008D106E">
      <w:pPr>
        <w:jc w:val="both"/>
        <w:rPr>
          <w:sz w:val="28"/>
          <w:szCs w:val="28"/>
        </w:rPr>
      </w:pPr>
      <w:r>
        <w:rPr>
          <w:sz w:val="28"/>
          <w:szCs w:val="28"/>
        </w:rPr>
        <w:t>В отношении остальных Участников из официальных источников, информации о несостоятельности, банкротстве или ненадежности                         не получено.</w:t>
      </w:r>
    </w:p>
    <w:p w:rsidR="008D106E" w:rsidRDefault="008D106E" w:rsidP="008D106E">
      <w:pPr>
        <w:jc w:val="both"/>
        <w:rPr>
          <w:sz w:val="28"/>
          <w:szCs w:val="28"/>
        </w:rPr>
      </w:pPr>
    </w:p>
    <w:p w:rsidR="008D106E" w:rsidRDefault="008D106E" w:rsidP="008D106E">
      <w:pPr>
        <w:jc w:val="center"/>
        <w:rPr>
          <w:b/>
          <w:sz w:val="28"/>
          <w:szCs w:val="28"/>
        </w:rPr>
      </w:pPr>
      <w:r>
        <w:rPr>
          <w:b/>
          <w:sz w:val="28"/>
          <w:szCs w:val="28"/>
        </w:rPr>
        <w:t>ЗАКЛЮЧЕНИЕ</w:t>
      </w:r>
    </w:p>
    <w:p w:rsidR="008D106E" w:rsidRDefault="008D106E" w:rsidP="008D106E">
      <w:pPr>
        <w:jc w:val="center"/>
        <w:rPr>
          <w:b/>
          <w:sz w:val="28"/>
          <w:szCs w:val="28"/>
        </w:rPr>
      </w:pPr>
    </w:p>
    <w:p w:rsidR="008D106E" w:rsidRDefault="008D106E" w:rsidP="008D106E">
      <w:pPr>
        <w:ind w:firstLine="709"/>
        <w:jc w:val="both"/>
        <w:rPr>
          <w:sz w:val="28"/>
          <w:szCs w:val="28"/>
        </w:rPr>
      </w:pPr>
      <w:r>
        <w:rPr>
          <w:sz w:val="28"/>
          <w:szCs w:val="28"/>
        </w:rPr>
        <w:lastRenderedPageBreak/>
        <w:t>В связи с этим считаю, что указанное несоответствие требованиям закупочной документации, выявленное в заявке Участника ……., является достаточным /не достаточным [</w:t>
      </w:r>
      <w:r>
        <w:rPr>
          <w:i/>
          <w:sz w:val="28"/>
          <w:szCs w:val="28"/>
        </w:rPr>
        <w:t>ненужное удалить</w:t>
      </w:r>
      <w:r>
        <w:rPr>
          <w:sz w:val="28"/>
          <w:szCs w:val="28"/>
        </w:rPr>
        <w:t>] основанием для отклонения предложения данного Участника.</w:t>
      </w:r>
    </w:p>
    <w:p w:rsidR="008D106E" w:rsidRDefault="008D106E" w:rsidP="008D106E">
      <w:pPr>
        <w:ind w:firstLine="709"/>
        <w:jc w:val="both"/>
        <w:rPr>
          <w:sz w:val="28"/>
          <w:szCs w:val="28"/>
        </w:rPr>
      </w:pPr>
      <w:r>
        <w:rPr>
          <w:sz w:val="28"/>
          <w:szCs w:val="28"/>
        </w:rPr>
        <w:t>В связи с отсутствием информации, указывающей на ненадежность (остальных) Участников, фактов, компрометирующих учредителей и должностных лиц предприятия, а также с учетом результатов экспертизы считаю возможным дальнейшее рассмотрение предложений в соответствии с требованиями локальных нормативных актов Общества, регламентирующих закупочную процедуру.</w:t>
      </w:r>
    </w:p>
    <w:p w:rsidR="008D106E" w:rsidRDefault="008D106E" w:rsidP="008D106E">
      <w:pPr>
        <w:jc w:val="both"/>
        <w:rPr>
          <w:sz w:val="28"/>
          <w:szCs w:val="28"/>
        </w:rPr>
      </w:pPr>
    </w:p>
    <w:p w:rsidR="008D106E" w:rsidRDefault="008D106E" w:rsidP="008D106E">
      <w:pPr>
        <w:rPr>
          <w:sz w:val="28"/>
          <w:szCs w:val="28"/>
        </w:rPr>
      </w:pPr>
      <w:r>
        <w:rPr>
          <w:sz w:val="28"/>
          <w:szCs w:val="28"/>
        </w:rPr>
        <w:t>Должность эксперта по безопасности</w:t>
      </w:r>
      <w:r>
        <w:rPr>
          <w:sz w:val="28"/>
          <w:szCs w:val="28"/>
        </w:rPr>
        <w:tab/>
        <w:t xml:space="preserve">  </w:t>
      </w:r>
      <w:r>
        <w:rPr>
          <w:sz w:val="28"/>
          <w:szCs w:val="28"/>
        </w:rPr>
        <w:tab/>
      </w:r>
      <w:r>
        <w:rPr>
          <w:sz w:val="28"/>
          <w:szCs w:val="28"/>
        </w:rPr>
        <w:tab/>
      </w:r>
      <w:r>
        <w:rPr>
          <w:sz w:val="28"/>
          <w:szCs w:val="28"/>
        </w:rPr>
        <w:tab/>
        <w:t xml:space="preserve">         ФИО</w:t>
      </w:r>
    </w:p>
    <w:p w:rsidR="008D106E" w:rsidRDefault="008D106E" w:rsidP="008D106E">
      <w:pPr>
        <w:rPr>
          <w:sz w:val="28"/>
          <w:szCs w:val="28"/>
        </w:rPr>
      </w:pPr>
    </w:p>
    <w:p w:rsidR="008D106E" w:rsidRDefault="008D106E" w:rsidP="008D106E">
      <w:r>
        <w:rPr>
          <w:sz w:val="28"/>
          <w:szCs w:val="28"/>
        </w:rPr>
        <w:t>Дата</w:t>
      </w:r>
    </w:p>
    <w:p w:rsidR="008D106E" w:rsidRDefault="008D106E" w:rsidP="008D106E"/>
    <w:p w:rsidR="008D106E" w:rsidRDefault="008D106E" w:rsidP="008D106E"/>
    <w:p w:rsidR="008D106E" w:rsidRDefault="008D106E" w:rsidP="008D106E"/>
    <w:p w:rsidR="004B7C5E" w:rsidRPr="00030A9E" w:rsidRDefault="004B7C5E" w:rsidP="005A7ACB"/>
    <w:sectPr w:rsidR="004B7C5E" w:rsidRPr="00030A9E" w:rsidSect="004C493C">
      <w:footerReference w:type="default" r:id="rId31"/>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B9F" w:rsidRDefault="00015B9F" w:rsidP="00BB5D1D">
      <w:r>
        <w:separator/>
      </w:r>
    </w:p>
  </w:endnote>
  <w:endnote w:type="continuationSeparator" w:id="0">
    <w:p w:rsidR="00015B9F" w:rsidRDefault="00015B9F" w:rsidP="00BB5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551" w:rsidRDefault="001E3551">
    <w:pPr>
      <w:pStyle w:val="af4"/>
      <w:jc w:val="right"/>
    </w:pPr>
    <w:r>
      <w:fldChar w:fldCharType="begin"/>
    </w:r>
    <w:r>
      <w:instrText>PAGE   \* MERGEFORMAT</w:instrText>
    </w:r>
    <w:r>
      <w:fldChar w:fldCharType="separate"/>
    </w:r>
    <w:r w:rsidR="003F520A">
      <w:rPr>
        <w:noProof/>
      </w:rPr>
      <w:t>1</w:t>
    </w:r>
    <w:r>
      <w:fldChar w:fldCharType="end"/>
    </w:r>
  </w:p>
  <w:p w:rsidR="001E3551" w:rsidRDefault="001E355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B9F" w:rsidRDefault="00015B9F" w:rsidP="00BB5D1D">
      <w:r>
        <w:separator/>
      </w:r>
    </w:p>
  </w:footnote>
  <w:footnote w:type="continuationSeparator" w:id="0">
    <w:p w:rsidR="00015B9F" w:rsidRDefault="00015B9F" w:rsidP="00BB5D1D">
      <w:r>
        <w:continuationSeparator/>
      </w:r>
    </w:p>
  </w:footnote>
  <w:footnote w:id="1">
    <w:p w:rsidR="00061F3C" w:rsidRDefault="00061F3C">
      <w:pPr>
        <w:pStyle w:val="ac"/>
      </w:pPr>
      <w:r>
        <w:rPr>
          <w:rStyle w:val="ae"/>
        </w:rPr>
        <w:footnoteRef/>
      </w:r>
      <w:r>
        <w:t xml:space="preserve">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Участника</w:t>
      </w:r>
    </w:p>
  </w:footnote>
  <w:footnote w:id="2">
    <w:p w:rsidR="00061F3C" w:rsidRDefault="00061F3C">
      <w:pPr>
        <w:pStyle w:val="ac"/>
      </w:pPr>
      <w:r>
        <w:rPr>
          <w:rStyle w:val="ae"/>
        </w:rPr>
        <w:footnoteRef/>
      </w:r>
      <w:r>
        <w:t xml:space="preserve"> В </w:t>
      </w:r>
      <w:r w:rsidRPr="00901DDB">
        <w:rPr>
          <w:rStyle w:val="blk"/>
        </w:rPr>
        <w:t xml:space="preserve">соответствии с </w:t>
      </w:r>
      <w:r>
        <w:rPr>
          <w:rStyle w:val="blk"/>
        </w:rPr>
        <w:t xml:space="preserve">Федеральным законом от </w:t>
      </w:r>
      <w:r w:rsidRPr="00901DDB">
        <w:rPr>
          <w:rStyle w:val="blk"/>
        </w:rPr>
        <w:t>26 октября 2002 года</w:t>
      </w:r>
      <w:r>
        <w:rPr>
          <w:rStyle w:val="blk"/>
        </w:rPr>
        <w:t xml:space="preserve"> № 127-ФЗ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footnote>
  <w:footnote w:id="3">
    <w:p w:rsidR="001E3551" w:rsidRDefault="001E3551" w:rsidP="008D106E">
      <w:pPr>
        <w:pStyle w:val="ac"/>
        <w:jc w:val="both"/>
      </w:pPr>
      <w:r>
        <w:rPr>
          <w:rStyle w:val="ae"/>
        </w:rPr>
        <w:footnoteRef/>
      </w:r>
      <w:r>
        <w:t xml:space="preserve"> В соответствии с </w:t>
      </w:r>
      <w:r>
        <w:rPr>
          <w:rStyle w:val="blk"/>
        </w:rPr>
        <w:t xml:space="preserve">Федеральным законом от </w:t>
      </w:r>
      <w:r w:rsidRPr="000E41D4">
        <w:rPr>
          <w:rStyle w:val="blk"/>
        </w:rPr>
        <w:t>26 октября 2002 года</w:t>
      </w:r>
      <w:r>
        <w:rPr>
          <w:rStyle w:val="blk"/>
        </w:rPr>
        <w:t xml:space="preserve"> № 127-ФЗ 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w:t>
      </w:r>
      <w:proofErr w:type="gramStart"/>
      <w:r>
        <w:rPr>
          <w:rStyle w:val="blk"/>
        </w:rPr>
        <w:t xml:space="preserve">или) </w:t>
      </w:r>
      <w:proofErr w:type="gramEnd"/>
      <w:r>
        <w:rPr>
          <w:rStyle w:val="blk"/>
        </w:rPr>
        <w:t>обязанность не исполнены им в течение трех месяцев с даты, когда они должны были быть исполнены.</w:t>
      </w:r>
    </w:p>
  </w:footnote>
  <w:footnote w:id="4">
    <w:p w:rsidR="001E3551" w:rsidRDefault="001E3551" w:rsidP="008D106E">
      <w:pPr>
        <w:pStyle w:val="ac"/>
        <w:jc w:val="both"/>
      </w:pPr>
      <w:r>
        <w:rPr>
          <w:rStyle w:val="ae"/>
        </w:rPr>
        <w:footnoteRef/>
      </w:r>
      <w:r>
        <w:t xml:space="preserve"> Экспертиза в отношении информации Участника обо всей цепочке собственников, включая бенефициаров, в т.ч. конечных, оформляется отдельным заключением в типовом формате, утвержденном соответствующим ЛНА Общества.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6D9"/>
    <w:multiLevelType w:val="hybridMultilevel"/>
    <w:tmpl w:val="FD4611E4"/>
    <w:lvl w:ilvl="0" w:tplc="55FC3D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802D08"/>
    <w:multiLevelType w:val="multilevel"/>
    <w:tmpl w:val="1144B2B6"/>
    <w:lvl w:ilvl="0">
      <w:start w:val="1"/>
      <w:numFmt w:val="decimal"/>
      <w:lvlText w:val="%1."/>
      <w:lvlJc w:val="left"/>
      <w:pPr>
        <w:ind w:left="354" w:firstLine="72"/>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nsid w:val="15616527"/>
    <w:multiLevelType w:val="hybridMultilevel"/>
    <w:tmpl w:val="47448408"/>
    <w:lvl w:ilvl="0" w:tplc="90A6A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1431EF"/>
    <w:multiLevelType w:val="multilevel"/>
    <w:tmpl w:val="D856F91E"/>
    <w:lvl w:ilvl="0">
      <w:start w:val="2"/>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80813C8"/>
    <w:multiLevelType w:val="hybridMultilevel"/>
    <w:tmpl w:val="035C203E"/>
    <w:lvl w:ilvl="0" w:tplc="A00A227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F327D26"/>
    <w:multiLevelType w:val="hybridMultilevel"/>
    <w:tmpl w:val="B97AECB8"/>
    <w:lvl w:ilvl="0" w:tplc="A00A227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E9423F3"/>
    <w:multiLevelType w:val="hybridMultilevel"/>
    <w:tmpl w:val="674C5BD2"/>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7B60539"/>
    <w:multiLevelType w:val="hybridMultilevel"/>
    <w:tmpl w:val="28640A06"/>
    <w:lvl w:ilvl="0" w:tplc="D8606440">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3A422318"/>
    <w:multiLevelType w:val="hybridMultilevel"/>
    <w:tmpl w:val="F4D64666"/>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0917B8"/>
    <w:multiLevelType w:val="multilevel"/>
    <w:tmpl w:val="4E00EC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a"/>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B212679"/>
    <w:multiLevelType w:val="multilevel"/>
    <w:tmpl w:val="40C073BE"/>
    <w:lvl w:ilvl="0">
      <w:start w:val="1"/>
      <w:numFmt w:val="decimal"/>
      <w:lvlText w:val="%1."/>
      <w:lvlJc w:val="left"/>
      <w:pPr>
        <w:ind w:left="1146" w:hanging="360"/>
      </w:pPr>
    </w:lvl>
    <w:lvl w:ilvl="1">
      <w:start w:val="3"/>
      <w:numFmt w:val="decimal"/>
      <w:isLgl/>
      <w:lvlText w:val="%1.%2."/>
      <w:lvlJc w:val="left"/>
      <w:pPr>
        <w:ind w:left="1758" w:hanging="972"/>
      </w:pPr>
      <w:rPr>
        <w:rFonts w:hint="default"/>
      </w:rPr>
    </w:lvl>
    <w:lvl w:ilvl="2">
      <w:start w:val="1"/>
      <w:numFmt w:val="decimal"/>
      <w:isLgl/>
      <w:lvlText w:val="%1.%2.%3."/>
      <w:lvlJc w:val="left"/>
      <w:pPr>
        <w:ind w:left="1758" w:hanging="972"/>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1">
    <w:nsid w:val="3B987599"/>
    <w:multiLevelType w:val="hybridMultilevel"/>
    <w:tmpl w:val="53E4CD0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DA7418"/>
    <w:multiLevelType w:val="hybridMultilevel"/>
    <w:tmpl w:val="DAB05454"/>
    <w:lvl w:ilvl="0" w:tplc="F5DCC28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46224EC9"/>
    <w:multiLevelType w:val="hybridMultilevel"/>
    <w:tmpl w:val="674C5BD2"/>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CED72E2"/>
    <w:multiLevelType w:val="hybridMultilevel"/>
    <w:tmpl w:val="A7445F94"/>
    <w:lvl w:ilvl="0" w:tplc="6F883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1684C91"/>
    <w:multiLevelType w:val="hybridMultilevel"/>
    <w:tmpl w:val="53E4C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A946BB"/>
    <w:multiLevelType w:val="hybridMultilevel"/>
    <w:tmpl w:val="8FD42A66"/>
    <w:lvl w:ilvl="0" w:tplc="846CB6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8A57E8C"/>
    <w:multiLevelType w:val="hybridMultilevel"/>
    <w:tmpl w:val="502871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2F29F2"/>
    <w:multiLevelType w:val="hybridMultilevel"/>
    <w:tmpl w:val="CBE21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EF11B0"/>
    <w:multiLevelType w:val="hybridMultilevel"/>
    <w:tmpl w:val="FF78589A"/>
    <w:lvl w:ilvl="0" w:tplc="CE7CFFCC">
      <w:start w:val="4"/>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nsid w:val="77F536F4"/>
    <w:multiLevelType w:val="hybridMultilevel"/>
    <w:tmpl w:val="D6BA4C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79185450"/>
    <w:multiLevelType w:val="hybridMultilevel"/>
    <w:tmpl w:val="DD1406BE"/>
    <w:lvl w:ilvl="0" w:tplc="48C64A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D5B5CF7"/>
    <w:multiLevelType w:val="hybridMultilevel"/>
    <w:tmpl w:val="5DF295B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nsid w:val="7FAC4217"/>
    <w:multiLevelType w:val="multilevel"/>
    <w:tmpl w:val="4B0C7454"/>
    <w:lvl w:ilvl="0">
      <w:start w:val="1"/>
      <w:numFmt w:val="decimal"/>
      <w:lvlText w:val="%1."/>
      <w:lvlJc w:val="left"/>
      <w:pPr>
        <w:ind w:left="107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num w:numId="1">
    <w:abstractNumId w:val="6"/>
  </w:num>
  <w:num w:numId="2">
    <w:abstractNumId w:val="7"/>
  </w:num>
  <w:num w:numId="3">
    <w:abstractNumId w:val="17"/>
  </w:num>
  <w:num w:numId="4">
    <w:abstractNumId w:val="0"/>
  </w:num>
  <w:num w:numId="5">
    <w:abstractNumId w:val="14"/>
  </w:num>
  <w:num w:numId="6">
    <w:abstractNumId w:val="16"/>
  </w:num>
  <w:num w:numId="7">
    <w:abstractNumId w:val="20"/>
  </w:num>
  <w:num w:numId="8">
    <w:abstractNumId w:val="2"/>
  </w:num>
  <w:num w:numId="9">
    <w:abstractNumId w:val="22"/>
  </w:num>
  <w:num w:numId="10">
    <w:abstractNumId w:val="9"/>
  </w:num>
  <w:num w:numId="11">
    <w:abstractNumId w:val="13"/>
  </w:num>
  <w:num w:numId="12">
    <w:abstractNumId w:val="8"/>
  </w:num>
  <w:num w:numId="13">
    <w:abstractNumId w:val="12"/>
  </w:num>
  <w:num w:numId="14">
    <w:abstractNumId w:val="23"/>
  </w:num>
  <w:num w:numId="15">
    <w:abstractNumId w:val="1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num>
  <w:num w:numId="23">
    <w:abstractNumId w:val="4"/>
  </w:num>
  <w:num w:numId="24">
    <w:abstractNumId w:val="10"/>
  </w:num>
  <w:num w:numId="25">
    <w:abstractNumId w:val="18"/>
  </w:num>
  <w:num w:numId="26">
    <w:abstractNumId w:val="3"/>
  </w:num>
  <w:num w:numId="27">
    <w:abstractNumId w:val="1"/>
  </w:num>
  <w:num w:numId="28">
    <w:abstractNumId w:val="9"/>
  </w:num>
  <w:num w:numId="29">
    <w:abstractNumId w:val="9"/>
  </w:num>
  <w:num w:numId="30">
    <w:abstractNumId w:val="5"/>
  </w:num>
  <w:num w:numId="31">
    <w:abstractNumId w:val="1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5"/>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65"/>
    <w:rsid w:val="00000026"/>
    <w:rsid w:val="00000583"/>
    <w:rsid w:val="00001CF4"/>
    <w:rsid w:val="0001324A"/>
    <w:rsid w:val="00015B9F"/>
    <w:rsid w:val="000169A8"/>
    <w:rsid w:val="00020C98"/>
    <w:rsid w:val="00024909"/>
    <w:rsid w:val="0002790F"/>
    <w:rsid w:val="00030A9E"/>
    <w:rsid w:val="00037CA1"/>
    <w:rsid w:val="00046174"/>
    <w:rsid w:val="00050F33"/>
    <w:rsid w:val="0005413B"/>
    <w:rsid w:val="00061F3C"/>
    <w:rsid w:val="000735CB"/>
    <w:rsid w:val="00087D89"/>
    <w:rsid w:val="000A0B93"/>
    <w:rsid w:val="000A30DD"/>
    <w:rsid w:val="000A6B8C"/>
    <w:rsid w:val="000A7802"/>
    <w:rsid w:val="000D12AF"/>
    <w:rsid w:val="000D5334"/>
    <w:rsid w:val="000E51A7"/>
    <w:rsid w:val="000E7E24"/>
    <w:rsid w:val="000F524A"/>
    <w:rsid w:val="0010299B"/>
    <w:rsid w:val="001075D9"/>
    <w:rsid w:val="001218EC"/>
    <w:rsid w:val="00127F35"/>
    <w:rsid w:val="00135430"/>
    <w:rsid w:val="00141265"/>
    <w:rsid w:val="001611B1"/>
    <w:rsid w:val="00175C1B"/>
    <w:rsid w:val="00183D67"/>
    <w:rsid w:val="001B3DAB"/>
    <w:rsid w:val="001E0DC2"/>
    <w:rsid w:val="001E3551"/>
    <w:rsid w:val="001E5B47"/>
    <w:rsid w:val="001E5E92"/>
    <w:rsid w:val="001F1F81"/>
    <w:rsid w:val="00206A48"/>
    <w:rsid w:val="0021173F"/>
    <w:rsid w:val="00217D48"/>
    <w:rsid w:val="002537E1"/>
    <w:rsid w:val="002544BD"/>
    <w:rsid w:val="002567EF"/>
    <w:rsid w:val="00263E5A"/>
    <w:rsid w:val="00267051"/>
    <w:rsid w:val="00271E61"/>
    <w:rsid w:val="00273561"/>
    <w:rsid w:val="002863BC"/>
    <w:rsid w:val="00287276"/>
    <w:rsid w:val="00293ACC"/>
    <w:rsid w:val="002A1A19"/>
    <w:rsid w:val="002A4D8D"/>
    <w:rsid w:val="002A7BC0"/>
    <w:rsid w:val="002C5FAC"/>
    <w:rsid w:val="002E1259"/>
    <w:rsid w:val="002E1871"/>
    <w:rsid w:val="002E49AB"/>
    <w:rsid w:val="002E7526"/>
    <w:rsid w:val="002F2427"/>
    <w:rsid w:val="002F43A9"/>
    <w:rsid w:val="002F61AF"/>
    <w:rsid w:val="00306AB8"/>
    <w:rsid w:val="003174A4"/>
    <w:rsid w:val="00321909"/>
    <w:rsid w:val="00330BCE"/>
    <w:rsid w:val="003331E7"/>
    <w:rsid w:val="00341B37"/>
    <w:rsid w:val="00341DBB"/>
    <w:rsid w:val="00341FA2"/>
    <w:rsid w:val="0034662E"/>
    <w:rsid w:val="00350EF9"/>
    <w:rsid w:val="00352B2A"/>
    <w:rsid w:val="00364A67"/>
    <w:rsid w:val="00367309"/>
    <w:rsid w:val="00370487"/>
    <w:rsid w:val="00370E5F"/>
    <w:rsid w:val="003756D5"/>
    <w:rsid w:val="00380455"/>
    <w:rsid w:val="003804E5"/>
    <w:rsid w:val="00381233"/>
    <w:rsid w:val="003849EF"/>
    <w:rsid w:val="00385856"/>
    <w:rsid w:val="00392E4F"/>
    <w:rsid w:val="00396597"/>
    <w:rsid w:val="00396AC8"/>
    <w:rsid w:val="003A563B"/>
    <w:rsid w:val="003C65DF"/>
    <w:rsid w:val="003D049E"/>
    <w:rsid w:val="003D0AE8"/>
    <w:rsid w:val="003E09A5"/>
    <w:rsid w:val="003E5C24"/>
    <w:rsid w:val="003E5EEA"/>
    <w:rsid w:val="003F07C2"/>
    <w:rsid w:val="003F520A"/>
    <w:rsid w:val="003F7C29"/>
    <w:rsid w:val="00404693"/>
    <w:rsid w:val="00404D89"/>
    <w:rsid w:val="00405508"/>
    <w:rsid w:val="0040653C"/>
    <w:rsid w:val="00407A75"/>
    <w:rsid w:val="0041024C"/>
    <w:rsid w:val="004116A5"/>
    <w:rsid w:val="004202BA"/>
    <w:rsid w:val="004212C8"/>
    <w:rsid w:val="004213E1"/>
    <w:rsid w:val="00422FAD"/>
    <w:rsid w:val="00423B35"/>
    <w:rsid w:val="00432470"/>
    <w:rsid w:val="00432487"/>
    <w:rsid w:val="00433315"/>
    <w:rsid w:val="0043555F"/>
    <w:rsid w:val="004416F5"/>
    <w:rsid w:val="00444DE6"/>
    <w:rsid w:val="00450733"/>
    <w:rsid w:val="00454B99"/>
    <w:rsid w:val="00456411"/>
    <w:rsid w:val="00467892"/>
    <w:rsid w:val="00480C8E"/>
    <w:rsid w:val="00482E3C"/>
    <w:rsid w:val="00484BF5"/>
    <w:rsid w:val="0048726C"/>
    <w:rsid w:val="00493561"/>
    <w:rsid w:val="00494188"/>
    <w:rsid w:val="004A4948"/>
    <w:rsid w:val="004A644C"/>
    <w:rsid w:val="004B7C5E"/>
    <w:rsid w:val="004C493C"/>
    <w:rsid w:val="004E3DFD"/>
    <w:rsid w:val="004E4A9B"/>
    <w:rsid w:val="004E7D95"/>
    <w:rsid w:val="004F0848"/>
    <w:rsid w:val="004F1E3E"/>
    <w:rsid w:val="004F7AD1"/>
    <w:rsid w:val="0051024A"/>
    <w:rsid w:val="005342D3"/>
    <w:rsid w:val="00536C10"/>
    <w:rsid w:val="0053775C"/>
    <w:rsid w:val="00545F7A"/>
    <w:rsid w:val="0055059B"/>
    <w:rsid w:val="00555069"/>
    <w:rsid w:val="00562175"/>
    <w:rsid w:val="005768E4"/>
    <w:rsid w:val="005769E0"/>
    <w:rsid w:val="00577842"/>
    <w:rsid w:val="00585070"/>
    <w:rsid w:val="00587480"/>
    <w:rsid w:val="00587562"/>
    <w:rsid w:val="005878F6"/>
    <w:rsid w:val="00590BEB"/>
    <w:rsid w:val="00594B88"/>
    <w:rsid w:val="005A7ACB"/>
    <w:rsid w:val="005B245B"/>
    <w:rsid w:val="005B6AA8"/>
    <w:rsid w:val="005C31BE"/>
    <w:rsid w:val="005D0677"/>
    <w:rsid w:val="005D0B5C"/>
    <w:rsid w:val="005E6665"/>
    <w:rsid w:val="005F17B5"/>
    <w:rsid w:val="005F723C"/>
    <w:rsid w:val="00607425"/>
    <w:rsid w:val="00617CAB"/>
    <w:rsid w:val="00632289"/>
    <w:rsid w:val="0063594D"/>
    <w:rsid w:val="006377CA"/>
    <w:rsid w:val="0064602A"/>
    <w:rsid w:val="00651BE8"/>
    <w:rsid w:val="0065550F"/>
    <w:rsid w:val="006563B7"/>
    <w:rsid w:val="00662B5E"/>
    <w:rsid w:val="0067039D"/>
    <w:rsid w:val="0067343B"/>
    <w:rsid w:val="00674FEF"/>
    <w:rsid w:val="00677D44"/>
    <w:rsid w:val="00684B73"/>
    <w:rsid w:val="00685BEA"/>
    <w:rsid w:val="006862E5"/>
    <w:rsid w:val="006A27B7"/>
    <w:rsid w:val="006A2974"/>
    <w:rsid w:val="006C4CCE"/>
    <w:rsid w:val="006D71FA"/>
    <w:rsid w:val="006E7E1F"/>
    <w:rsid w:val="00703BF2"/>
    <w:rsid w:val="007115E8"/>
    <w:rsid w:val="00712A71"/>
    <w:rsid w:val="00731B88"/>
    <w:rsid w:val="007402B0"/>
    <w:rsid w:val="00745B80"/>
    <w:rsid w:val="007531FC"/>
    <w:rsid w:val="00754E04"/>
    <w:rsid w:val="00755E77"/>
    <w:rsid w:val="007612C3"/>
    <w:rsid w:val="00761713"/>
    <w:rsid w:val="0076737B"/>
    <w:rsid w:val="0077463B"/>
    <w:rsid w:val="00780C82"/>
    <w:rsid w:val="00785F0A"/>
    <w:rsid w:val="00795438"/>
    <w:rsid w:val="00796A13"/>
    <w:rsid w:val="007A1206"/>
    <w:rsid w:val="007A1D15"/>
    <w:rsid w:val="007B2CCE"/>
    <w:rsid w:val="007B60E6"/>
    <w:rsid w:val="007B6257"/>
    <w:rsid w:val="007B7E9A"/>
    <w:rsid w:val="007D59FC"/>
    <w:rsid w:val="007E0D38"/>
    <w:rsid w:val="007E3648"/>
    <w:rsid w:val="007F5EAE"/>
    <w:rsid w:val="007F77BD"/>
    <w:rsid w:val="0080332B"/>
    <w:rsid w:val="0082144C"/>
    <w:rsid w:val="008216EE"/>
    <w:rsid w:val="00825D02"/>
    <w:rsid w:val="00834D85"/>
    <w:rsid w:val="00840830"/>
    <w:rsid w:val="00845C3A"/>
    <w:rsid w:val="00852055"/>
    <w:rsid w:val="00857792"/>
    <w:rsid w:val="008607F6"/>
    <w:rsid w:val="008649A7"/>
    <w:rsid w:val="008662B1"/>
    <w:rsid w:val="00875552"/>
    <w:rsid w:val="00883558"/>
    <w:rsid w:val="0088553D"/>
    <w:rsid w:val="00892719"/>
    <w:rsid w:val="00894B0B"/>
    <w:rsid w:val="00894FF9"/>
    <w:rsid w:val="008A55F6"/>
    <w:rsid w:val="008B55B5"/>
    <w:rsid w:val="008B5F18"/>
    <w:rsid w:val="008D106E"/>
    <w:rsid w:val="008E5E40"/>
    <w:rsid w:val="008F4148"/>
    <w:rsid w:val="0090177E"/>
    <w:rsid w:val="00901DDB"/>
    <w:rsid w:val="0090386E"/>
    <w:rsid w:val="009149EE"/>
    <w:rsid w:val="009258D7"/>
    <w:rsid w:val="0094181D"/>
    <w:rsid w:val="009567F8"/>
    <w:rsid w:val="0097131F"/>
    <w:rsid w:val="00973E9A"/>
    <w:rsid w:val="0097710E"/>
    <w:rsid w:val="009852FB"/>
    <w:rsid w:val="0099577B"/>
    <w:rsid w:val="009A4BA4"/>
    <w:rsid w:val="009A627B"/>
    <w:rsid w:val="009A7BE4"/>
    <w:rsid w:val="009A7C7E"/>
    <w:rsid w:val="009B3E97"/>
    <w:rsid w:val="009C3F77"/>
    <w:rsid w:val="009C4A95"/>
    <w:rsid w:val="009C7570"/>
    <w:rsid w:val="009D00D6"/>
    <w:rsid w:val="009D024E"/>
    <w:rsid w:val="009D0BC5"/>
    <w:rsid w:val="009E50DA"/>
    <w:rsid w:val="009E724A"/>
    <w:rsid w:val="009F6D13"/>
    <w:rsid w:val="00A003D9"/>
    <w:rsid w:val="00A14E19"/>
    <w:rsid w:val="00A31837"/>
    <w:rsid w:val="00A425A8"/>
    <w:rsid w:val="00A43048"/>
    <w:rsid w:val="00A47DA5"/>
    <w:rsid w:val="00A52965"/>
    <w:rsid w:val="00A6103F"/>
    <w:rsid w:val="00A655CB"/>
    <w:rsid w:val="00A7076B"/>
    <w:rsid w:val="00A77D39"/>
    <w:rsid w:val="00A949CE"/>
    <w:rsid w:val="00A95B07"/>
    <w:rsid w:val="00AA2A74"/>
    <w:rsid w:val="00AB183E"/>
    <w:rsid w:val="00AB6FE4"/>
    <w:rsid w:val="00AC3257"/>
    <w:rsid w:val="00AC7396"/>
    <w:rsid w:val="00AD1FB6"/>
    <w:rsid w:val="00AD5AD9"/>
    <w:rsid w:val="00AD5F84"/>
    <w:rsid w:val="00AD72FA"/>
    <w:rsid w:val="00AD737A"/>
    <w:rsid w:val="00AE3776"/>
    <w:rsid w:val="00AE3A78"/>
    <w:rsid w:val="00AE5314"/>
    <w:rsid w:val="00B00A18"/>
    <w:rsid w:val="00B02A3B"/>
    <w:rsid w:val="00B05FB7"/>
    <w:rsid w:val="00B11E59"/>
    <w:rsid w:val="00B313C0"/>
    <w:rsid w:val="00B31B76"/>
    <w:rsid w:val="00B45F05"/>
    <w:rsid w:val="00B51050"/>
    <w:rsid w:val="00B52A85"/>
    <w:rsid w:val="00B60196"/>
    <w:rsid w:val="00B808BE"/>
    <w:rsid w:val="00B81B3C"/>
    <w:rsid w:val="00BB296A"/>
    <w:rsid w:val="00BB4D2C"/>
    <w:rsid w:val="00BB5D1D"/>
    <w:rsid w:val="00BC1D8F"/>
    <w:rsid w:val="00BC4183"/>
    <w:rsid w:val="00BC51C7"/>
    <w:rsid w:val="00BD22EF"/>
    <w:rsid w:val="00BD2581"/>
    <w:rsid w:val="00BD5D86"/>
    <w:rsid w:val="00BD6D04"/>
    <w:rsid w:val="00BE1214"/>
    <w:rsid w:val="00BE54FB"/>
    <w:rsid w:val="00C0415E"/>
    <w:rsid w:val="00C10E9D"/>
    <w:rsid w:val="00C1197E"/>
    <w:rsid w:val="00C12AC7"/>
    <w:rsid w:val="00C13471"/>
    <w:rsid w:val="00C16051"/>
    <w:rsid w:val="00C16B42"/>
    <w:rsid w:val="00C22340"/>
    <w:rsid w:val="00C22F86"/>
    <w:rsid w:val="00C254F7"/>
    <w:rsid w:val="00C327AE"/>
    <w:rsid w:val="00C37448"/>
    <w:rsid w:val="00C40AB1"/>
    <w:rsid w:val="00C460D3"/>
    <w:rsid w:val="00C50C4E"/>
    <w:rsid w:val="00C52994"/>
    <w:rsid w:val="00C6648B"/>
    <w:rsid w:val="00C80598"/>
    <w:rsid w:val="00C83F9A"/>
    <w:rsid w:val="00C876D2"/>
    <w:rsid w:val="00CA06F1"/>
    <w:rsid w:val="00CA72AD"/>
    <w:rsid w:val="00CC2070"/>
    <w:rsid w:val="00CD0E18"/>
    <w:rsid w:val="00CD2A2D"/>
    <w:rsid w:val="00CD4C6F"/>
    <w:rsid w:val="00CD7666"/>
    <w:rsid w:val="00CE0190"/>
    <w:rsid w:val="00CE0549"/>
    <w:rsid w:val="00CF1406"/>
    <w:rsid w:val="00D0242D"/>
    <w:rsid w:val="00D0714C"/>
    <w:rsid w:val="00D1034D"/>
    <w:rsid w:val="00D169A9"/>
    <w:rsid w:val="00D1793C"/>
    <w:rsid w:val="00D23E51"/>
    <w:rsid w:val="00D24F76"/>
    <w:rsid w:val="00D322A3"/>
    <w:rsid w:val="00D34413"/>
    <w:rsid w:val="00D36DF8"/>
    <w:rsid w:val="00D438B6"/>
    <w:rsid w:val="00D449CD"/>
    <w:rsid w:val="00D515AE"/>
    <w:rsid w:val="00D5199B"/>
    <w:rsid w:val="00D5431F"/>
    <w:rsid w:val="00D56133"/>
    <w:rsid w:val="00D57FC3"/>
    <w:rsid w:val="00D60CCB"/>
    <w:rsid w:val="00D60EAE"/>
    <w:rsid w:val="00D61D6A"/>
    <w:rsid w:val="00D62536"/>
    <w:rsid w:val="00D627CA"/>
    <w:rsid w:val="00D6786F"/>
    <w:rsid w:val="00D84A26"/>
    <w:rsid w:val="00D86A9D"/>
    <w:rsid w:val="00D90619"/>
    <w:rsid w:val="00DA0103"/>
    <w:rsid w:val="00DA24BC"/>
    <w:rsid w:val="00DC03EA"/>
    <w:rsid w:val="00DC1E46"/>
    <w:rsid w:val="00DC6F36"/>
    <w:rsid w:val="00DD1034"/>
    <w:rsid w:val="00DD5946"/>
    <w:rsid w:val="00DD5A03"/>
    <w:rsid w:val="00E0482E"/>
    <w:rsid w:val="00E1207A"/>
    <w:rsid w:val="00E1417A"/>
    <w:rsid w:val="00E240B4"/>
    <w:rsid w:val="00E25574"/>
    <w:rsid w:val="00E300F3"/>
    <w:rsid w:val="00E47A74"/>
    <w:rsid w:val="00E50F5D"/>
    <w:rsid w:val="00E6698A"/>
    <w:rsid w:val="00E824C0"/>
    <w:rsid w:val="00E868DB"/>
    <w:rsid w:val="00E9687C"/>
    <w:rsid w:val="00EA643D"/>
    <w:rsid w:val="00EA66C4"/>
    <w:rsid w:val="00EC0C6F"/>
    <w:rsid w:val="00EC7156"/>
    <w:rsid w:val="00ED1B8D"/>
    <w:rsid w:val="00ED3EAF"/>
    <w:rsid w:val="00ED753A"/>
    <w:rsid w:val="00EE38B0"/>
    <w:rsid w:val="00EE57FA"/>
    <w:rsid w:val="00EF2068"/>
    <w:rsid w:val="00EF4736"/>
    <w:rsid w:val="00F00406"/>
    <w:rsid w:val="00F05281"/>
    <w:rsid w:val="00F05E74"/>
    <w:rsid w:val="00F177AA"/>
    <w:rsid w:val="00F23939"/>
    <w:rsid w:val="00F24259"/>
    <w:rsid w:val="00F36209"/>
    <w:rsid w:val="00F42057"/>
    <w:rsid w:val="00F5031E"/>
    <w:rsid w:val="00F54FA1"/>
    <w:rsid w:val="00F574E4"/>
    <w:rsid w:val="00F618E1"/>
    <w:rsid w:val="00F66520"/>
    <w:rsid w:val="00F67DDF"/>
    <w:rsid w:val="00F70F2A"/>
    <w:rsid w:val="00F7134D"/>
    <w:rsid w:val="00F71CD4"/>
    <w:rsid w:val="00F80E59"/>
    <w:rsid w:val="00F81AF8"/>
    <w:rsid w:val="00F81B54"/>
    <w:rsid w:val="00F86430"/>
    <w:rsid w:val="00F86619"/>
    <w:rsid w:val="00F91DD7"/>
    <w:rsid w:val="00F943AF"/>
    <w:rsid w:val="00F97A35"/>
    <w:rsid w:val="00FA63C9"/>
    <w:rsid w:val="00FB04DA"/>
    <w:rsid w:val="00FB22A4"/>
    <w:rsid w:val="00FB6191"/>
    <w:rsid w:val="00FB6CF9"/>
    <w:rsid w:val="00FC1BC6"/>
    <w:rsid w:val="00FD182B"/>
    <w:rsid w:val="00FE100F"/>
    <w:rsid w:val="00FE6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2965"/>
    <w:rPr>
      <w:rFonts w:ascii="Times New Roman" w:eastAsia="Times New Roman" w:hAnsi="Times New Roman"/>
      <w:sz w:val="24"/>
      <w:szCs w:val="24"/>
    </w:rPr>
  </w:style>
  <w:style w:type="paragraph" w:styleId="1">
    <w:name w:val="heading 1"/>
    <w:basedOn w:val="a0"/>
    <w:next w:val="a0"/>
    <w:link w:val="10"/>
    <w:uiPriority w:val="9"/>
    <w:qFormat/>
    <w:rsid w:val="00030A9E"/>
    <w:pPr>
      <w:keepNext/>
      <w:keepLines/>
      <w:spacing w:before="480"/>
      <w:outlineLvl w:val="0"/>
    </w:pPr>
    <w:rPr>
      <w:rFonts w:ascii="Cambria" w:hAnsi="Cambria"/>
      <w:b/>
      <w:bCs/>
      <w:color w:val="365F91"/>
      <w:sz w:val="28"/>
      <w:szCs w:val="28"/>
    </w:rPr>
  </w:style>
  <w:style w:type="paragraph" w:styleId="2">
    <w:name w:val="heading 2"/>
    <w:basedOn w:val="a0"/>
    <w:next w:val="a0"/>
    <w:link w:val="20"/>
    <w:qFormat/>
    <w:rsid w:val="00A52965"/>
    <w:pPr>
      <w:keepNext/>
      <w:jc w:val="center"/>
      <w:outlineLvl w:val="1"/>
    </w:pPr>
    <w:rPr>
      <w:b/>
      <w:bCs/>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A52965"/>
    <w:rPr>
      <w:rFonts w:ascii="Times New Roman" w:eastAsia="Times New Roman" w:hAnsi="Times New Roman" w:cs="Times New Roman"/>
      <w:b/>
      <w:bCs/>
      <w:iCs/>
      <w:sz w:val="24"/>
      <w:szCs w:val="24"/>
      <w:lang w:eastAsia="ru-RU"/>
    </w:rPr>
  </w:style>
  <w:style w:type="paragraph" w:styleId="a4">
    <w:name w:val="No Spacing"/>
    <w:uiPriority w:val="1"/>
    <w:qFormat/>
    <w:rsid w:val="00A52965"/>
    <w:rPr>
      <w:rFonts w:ascii="Times New Roman" w:eastAsia="Times New Roman" w:hAnsi="Times New Roman"/>
      <w:sz w:val="24"/>
      <w:szCs w:val="24"/>
    </w:rPr>
  </w:style>
  <w:style w:type="paragraph" w:styleId="a5">
    <w:name w:val="List Paragraph"/>
    <w:basedOn w:val="a0"/>
    <w:uiPriority w:val="34"/>
    <w:qFormat/>
    <w:rsid w:val="000D12AF"/>
    <w:pPr>
      <w:ind w:left="720"/>
      <w:contextualSpacing/>
    </w:pPr>
  </w:style>
  <w:style w:type="paragraph" w:styleId="a6">
    <w:name w:val="Balloon Text"/>
    <w:basedOn w:val="a0"/>
    <w:link w:val="a7"/>
    <w:uiPriority w:val="99"/>
    <w:semiHidden/>
    <w:unhideWhenUsed/>
    <w:rsid w:val="00EA66C4"/>
    <w:rPr>
      <w:rFonts w:ascii="Tahoma" w:hAnsi="Tahoma" w:cs="Tahoma"/>
      <w:sz w:val="16"/>
      <w:szCs w:val="16"/>
    </w:rPr>
  </w:style>
  <w:style w:type="character" w:customStyle="1" w:styleId="a7">
    <w:name w:val="Текст выноски Знак"/>
    <w:link w:val="a6"/>
    <w:uiPriority w:val="99"/>
    <w:semiHidden/>
    <w:rsid w:val="00EA66C4"/>
    <w:rPr>
      <w:rFonts w:ascii="Tahoma" w:eastAsia="Times New Roman" w:hAnsi="Tahoma" w:cs="Tahoma"/>
      <w:sz w:val="16"/>
      <w:szCs w:val="16"/>
      <w:lang w:eastAsia="ru-RU"/>
    </w:rPr>
  </w:style>
  <w:style w:type="paragraph" w:customStyle="1" w:styleId="a">
    <w:name w:val="Подподпункт"/>
    <w:basedOn w:val="a0"/>
    <w:link w:val="a8"/>
    <w:rsid w:val="00FB04DA"/>
    <w:pPr>
      <w:numPr>
        <w:ilvl w:val="4"/>
        <w:numId w:val="10"/>
      </w:numPr>
      <w:spacing w:line="360" w:lineRule="auto"/>
      <w:jc w:val="both"/>
    </w:pPr>
    <w:rPr>
      <w:rFonts w:eastAsia="Calibri"/>
      <w:sz w:val="28"/>
      <w:szCs w:val="20"/>
    </w:rPr>
  </w:style>
  <w:style w:type="character" w:customStyle="1" w:styleId="10">
    <w:name w:val="Заголовок 1 Знак"/>
    <w:link w:val="1"/>
    <w:uiPriority w:val="9"/>
    <w:rsid w:val="00030A9E"/>
    <w:rPr>
      <w:rFonts w:ascii="Cambria" w:eastAsia="Times New Roman" w:hAnsi="Cambria" w:cs="Times New Roman"/>
      <w:b/>
      <w:bCs/>
      <w:color w:val="365F91"/>
      <w:sz w:val="28"/>
      <w:szCs w:val="28"/>
      <w:lang w:eastAsia="ru-RU"/>
    </w:rPr>
  </w:style>
  <w:style w:type="paragraph" w:styleId="11">
    <w:name w:val="toc 1"/>
    <w:basedOn w:val="a0"/>
    <w:next w:val="a0"/>
    <w:autoRedefine/>
    <w:uiPriority w:val="39"/>
    <w:rsid w:val="00030A9E"/>
    <w:pPr>
      <w:keepNext/>
      <w:tabs>
        <w:tab w:val="left" w:pos="1134"/>
        <w:tab w:val="left" w:pos="9355"/>
      </w:tabs>
      <w:spacing w:before="120" w:after="120"/>
      <w:ind w:right="-1"/>
    </w:pPr>
    <w:rPr>
      <w:b/>
      <w:noProof/>
      <w:snapToGrid w:val="0"/>
      <w:sz w:val="28"/>
      <w:szCs w:val="20"/>
    </w:rPr>
  </w:style>
  <w:style w:type="paragraph" w:styleId="3">
    <w:name w:val="Body Text 3"/>
    <w:basedOn w:val="a0"/>
    <w:link w:val="30"/>
    <w:rsid w:val="00030A9E"/>
    <w:pPr>
      <w:spacing w:after="120" w:line="360" w:lineRule="auto"/>
      <w:ind w:firstLine="851"/>
      <w:jc w:val="both"/>
    </w:pPr>
    <w:rPr>
      <w:snapToGrid w:val="0"/>
      <w:sz w:val="16"/>
      <w:szCs w:val="16"/>
    </w:rPr>
  </w:style>
  <w:style w:type="character" w:customStyle="1" w:styleId="30">
    <w:name w:val="Основной текст 3 Знак"/>
    <w:link w:val="3"/>
    <w:rsid w:val="00030A9E"/>
    <w:rPr>
      <w:rFonts w:ascii="Times New Roman" w:eastAsia="Times New Roman" w:hAnsi="Times New Roman" w:cs="Times New Roman"/>
      <w:snapToGrid w:val="0"/>
      <w:sz w:val="16"/>
      <w:szCs w:val="16"/>
      <w:lang w:eastAsia="ru-RU"/>
    </w:rPr>
  </w:style>
  <w:style w:type="paragraph" w:styleId="a9">
    <w:name w:val="Plain Text"/>
    <w:basedOn w:val="a0"/>
    <w:link w:val="aa"/>
    <w:rsid w:val="00030A9E"/>
    <w:rPr>
      <w:rFonts w:ascii="Courier New" w:eastAsia="Calibri" w:hAnsi="Courier New" w:cs="Courier New"/>
      <w:sz w:val="20"/>
      <w:szCs w:val="20"/>
    </w:rPr>
  </w:style>
  <w:style w:type="character" w:customStyle="1" w:styleId="aa">
    <w:name w:val="Текст Знак"/>
    <w:link w:val="a9"/>
    <w:rsid w:val="00030A9E"/>
    <w:rPr>
      <w:rFonts w:ascii="Courier New" w:eastAsia="Calibri" w:hAnsi="Courier New" w:cs="Courier New"/>
      <w:sz w:val="20"/>
      <w:szCs w:val="20"/>
      <w:lang w:eastAsia="ru-RU"/>
    </w:rPr>
  </w:style>
  <w:style w:type="character" w:styleId="ab">
    <w:name w:val="Hyperlink"/>
    <w:uiPriority w:val="99"/>
    <w:unhideWhenUsed/>
    <w:rsid w:val="00030A9E"/>
    <w:rPr>
      <w:color w:val="0000FF"/>
      <w:u w:val="single"/>
    </w:rPr>
  </w:style>
  <w:style w:type="character" w:customStyle="1" w:styleId="a8">
    <w:name w:val="Подподпункт Знак"/>
    <w:link w:val="a"/>
    <w:locked/>
    <w:rsid w:val="005A7ACB"/>
    <w:rPr>
      <w:rFonts w:ascii="Times New Roman" w:hAnsi="Times New Roman"/>
      <w:sz w:val="28"/>
    </w:rPr>
  </w:style>
  <w:style w:type="paragraph" w:styleId="ac">
    <w:name w:val="footnote text"/>
    <w:basedOn w:val="a0"/>
    <w:link w:val="ad"/>
    <w:uiPriority w:val="99"/>
    <w:semiHidden/>
    <w:unhideWhenUsed/>
    <w:rsid w:val="00BB5D1D"/>
    <w:rPr>
      <w:sz w:val="20"/>
      <w:szCs w:val="20"/>
    </w:rPr>
  </w:style>
  <w:style w:type="character" w:customStyle="1" w:styleId="ad">
    <w:name w:val="Текст сноски Знак"/>
    <w:link w:val="ac"/>
    <w:uiPriority w:val="99"/>
    <w:semiHidden/>
    <w:rsid w:val="00BB5D1D"/>
    <w:rPr>
      <w:rFonts w:ascii="Times New Roman" w:eastAsia="Times New Roman" w:hAnsi="Times New Roman"/>
    </w:rPr>
  </w:style>
  <w:style w:type="character" w:styleId="ae">
    <w:name w:val="footnote reference"/>
    <w:uiPriority w:val="99"/>
    <w:semiHidden/>
    <w:unhideWhenUsed/>
    <w:rsid w:val="00BB5D1D"/>
    <w:rPr>
      <w:vertAlign w:val="superscript"/>
    </w:rPr>
  </w:style>
  <w:style w:type="paragraph" w:styleId="af">
    <w:name w:val="endnote text"/>
    <w:basedOn w:val="a0"/>
    <w:link w:val="af0"/>
    <w:uiPriority w:val="99"/>
    <w:semiHidden/>
    <w:unhideWhenUsed/>
    <w:rsid w:val="0077463B"/>
    <w:rPr>
      <w:sz w:val="20"/>
      <w:szCs w:val="20"/>
    </w:rPr>
  </w:style>
  <w:style w:type="character" w:customStyle="1" w:styleId="af0">
    <w:name w:val="Текст концевой сноски Знак"/>
    <w:link w:val="af"/>
    <w:uiPriority w:val="99"/>
    <w:semiHidden/>
    <w:rsid w:val="0077463B"/>
    <w:rPr>
      <w:rFonts w:ascii="Times New Roman" w:eastAsia="Times New Roman" w:hAnsi="Times New Roman"/>
    </w:rPr>
  </w:style>
  <w:style w:type="character" w:styleId="af1">
    <w:name w:val="endnote reference"/>
    <w:uiPriority w:val="99"/>
    <w:semiHidden/>
    <w:unhideWhenUsed/>
    <w:rsid w:val="0077463B"/>
    <w:rPr>
      <w:vertAlign w:val="superscript"/>
    </w:rPr>
  </w:style>
  <w:style w:type="character" w:customStyle="1" w:styleId="blk">
    <w:name w:val="blk"/>
    <w:rsid w:val="0077463B"/>
  </w:style>
  <w:style w:type="paragraph" w:styleId="af2">
    <w:name w:val="header"/>
    <w:basedOn w:val="a0"/>
    <w:link w:val="af3"/>
    <w:uiPriority w:val="99"/>
    <w:unhideWhenUsed/>
    <w:rsid w:val="00785F0A"/>
    <w:pPr>
      <w:tabs>
        <w:tab w:val="center" w:pos="4677"/>
        <w:tab w:val="right" w:pos="9355"/>
      </w:tabs>
    </w:pPr>
  </w:style>
  <w:style w:type="character" w:customStyle="1" w:styleId="af3">
    <w:name w:val="Верхний колонтитул Знак"/>
    <w:link w:val="af2"/>
    <w:uiPriority w:val="99"/>
    <w:rsid w:val="00785F0A"/>
    <w:rPr>
      <w:rFonts w:ascii="Times New Roman" w:eastAsia="Times New Roman" w:hAnsi="Times New Roman"/>
      <w:sz w:val="24"/>
      <w:szCs w:val="24"/>
    </w:rPr>
  </w:style>
  <w:style w:type="paragraph" w:styleId="af4">
    <w:name w:val="footer"/>
    <w:basedOn w:val="a0"/>
    <w:link w:val="af5"/>
    <w:uiPriority w:val="99"/>
    <w:unhideWhenUsed/>
    <w:rsid w:val="00785F0A"/>
    <w:pPr>
      <w:tabs>
        <w:tab w:val="center" w:pos="4677"/>
        <w:tab w:val="right" w:pos="9355"/>
      </w:tabs>
    </w:pPr>
  </w:style>
  <w:style w:type="character" w:customStyle="1" w:styleId="af5">
    <w:name w:val="Нижний колонтитул Знак"/>
    <w:link w:val="af4"/>
    <w:uiPriority w:val="99"/>
    <w:rsid w:val="00785F0A"/>
    <w:rPr>
      <w:rFonts w:ascii="Times New Roman" w:eastAsia="Times New Roman" w:hAnsi="Times New Roman"/>
      <w:sz w:val="24"/>
      <w:szCs w:val="24"/>
    </w:rPr>
  </w:style>
  <w:style w:type="character" w:styleId="af6">
    <w:name w:val="annotation reference"/>
    <w:uiPriority w:val="99"/>
    <w:semiHidden/>
    <w:unhideWhenUsed/>
    <w:rsid w:val="00D1034D"/>
    <w:rPr>
      <w:sz w:val="16"/>
      <w:szCs w:val="16"/>
    </w:rPr>
  </w:style>
  <w:style w:type="paragraph" w:styleId="af7">
    <w:name w:val="annotation text"/>
    <w:basedOn w:val="a0"/>
    <w:link w:val="af8"/>
    <w:uiPriority w:val="99"/>
    <w:semiHidden/>
    <w:unhideWhenUsed/>
    <w:rsid w:val="00D1034D"/>
    <w:rPr>
      <w:sz w:val="20"/>
      <w:szCs w:val="20"/>
    </w:rPr>
  </w:style>
  <w:style w:type="character" w:customStyle="1" w:styleId="af8">
    <w:name w:val="Текст примечания Знак"/>
    <w:link w:val="af7"/>
    <w:uiPriority w:val="99"/>
    <w:semiHidden/>
    <w:rsid w:val="00D1034D"/>
    <w:rPr>
      <w:rFonts w:ascii="Times New Roman" w:eastAsia="Times New Roman" w:hAnsi="Times New Roman"/>
    </w:rPr>
  </w:style>
  <w:style w:type="paragraph" w:styleId="af9">
    <w:name w:val="annotation subject"/>
    <w:basedOn w:val="af7"/>
    <w:next w:val="af7"/>
    <w:link w:val="afa"/>
    <w:uiPriority w:val="99"/>
    <w:semiHidden/>
    <w:unhideWhenUsed/>
    <w:rsid w:val="00D1034D"/>
    <w:rPr>
      <w:b/>
      <w:bCs/>
    </w:rPr>
  </w:style>
  <w:style w:type="character" w:customStyle="1" w:styleId="afa">
    <w:name w:val="Тема примечания Знак"/>
    <w:link w:val="af9"/>
    <w:uiPriority w:val="99"/>
    <w:semiHidden/>
    <w:rsid w:val="00D1034D"/>
    <w:rPr>
      <w:rFonts w:ascii="Times New Roman" w:eastAsia="Times New Roman" w:hAnsi="Times New Roman"/>
      <w:b/>
      <w:bCs/>
    </w:rPr>
  </w:style>
  <w:style w:type="paragraph" w:customStyle="1" w:styleId="Default">
    <w:name w:val="Default"/>
    <w:rsid w:val="00562175"/>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2965"/>
    <w:rPr>
      <w:rFonts w:ascii="Times New Roman" w:eastAsia="Times New Roman" w:hAnsi="Times New Roman"/>
      <w:sz w:val="24"/>
      <w:szCs w:val="24"/>
    </w:rPr>
  </w:style>
  <w:style w:type="paragraph" w:styleId="1">
    <w:name w:val="heading 1"/>
    <w:basedOn w:val="a0"/>
    <w:next w:val="a0"/>
    <w:link w:val="10"/>
    <w:uiPriority w:val="9"/>
    <w:qFormat/>
    <w:rsid w:val="00030A9E"/>
    <w:pPr>
      <w:keepNext/>
      <w:keepLines/>
      <w:spacing w:before="480"/>
      <w:outlineLvl w:val="0"/>
    </w:pPr>
    <w:rPr>
      <w:rFonts w:ascii="Cambria" w:hAnsi="Cambria"/>
      <w:b/>
      <w:bCs/>
      <w:color w:val="365F91"/>
      <w:sz w:val="28"/>
      <w:szCs w:val="28"/>
    </w:rPr>
  </w:style>
  <w:style w:type="paragraph" w:styleId="2">
    <w:name w:val="heading 2"/>
    <w:basedOn w:val="a0"/>
    <w:next w:val="a0"/>
    <w:link w:val="20"/>
    <w:qFormat/>
    <w:rsid w:val="00A52965"/>
    <w:pPr>
      <w:keepNext/>
      <w:jc w:val="center"/>
      <w:outlineLvl w:val="1"/>
    </w:pPr>
    <w:rPr>
      <w:b/>
      <w:bCs/>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A52965"/>
    <w:rPr>
      <w:rFonts w:ascii="Times New Roman" w:eastAsia="Times New Roman" w:hAnsi="Times New Roman" w:cs="Times New Roman"/>
      <w:b/>
      <w:bCs/>
      <w:iCs/>
      <w:sz w:val="24"/>
      <w:szCs w:val="24"/>
      <w:lang w:eastAsia="ru-RU"/>
    </w:rPr>
  </w:style>
  <w:style w:type="paragraph" w:styleId="a4">
    <w:name w:val="No Spacing"/>
    <w:uiPriority w:val="1"/>
    <w:qFormat/>
    <w:rsid w:val="00A52965"/>
    <w:rPr>
      <w:rFonts w:ascii="Times New Roman" w:eastAsia="Times New Roman" w:hAnsi="Times New Roman"/>
      <w:sz w:val="24"/>
      <w:szCs w:val="24"/>
    </w:rPr>
  </w:style>
  <w:style w:type="paragraph" w:styleId="a5">
    <w:name w:val="List Paragraph"/>
    <w:basedOn w:val="a0"/>
    <w:uiPriority w:val="34"/>
    <w:qFormat/>
    <w:rsid w:val="000D12AF"/>
    <w:pPr>
      <w:ind w:left="720"/>
      <w:contextualSpacing/>
    </w:pPr>
  </w:style>
  <w:style w:type="paragraph" w:styleId="a6">
    <w:name w:val="Balloon Text"/>
    <w:basedOn w:val="a0"/>
    <w:link w:val="a7"/>
    <w:uiPriority w:val="99"/>
    <w:semiHidden/>
    <w:unhideWhenUsed/>
    <w:rsid w:val="00EA66C4"/>
    <w:rPr>
      <w:rFonts w:ascii="Tahoma" w:hAnsi="Tahoma" w:cs="Tahoma"/>
      <w:sz w:val="16"/>
      <w:szCs w:val="16"/>
    </w:rPr>
  </w:style>
  <w:style w:type="character" w:customStyle="1" w:styleId="a7">
    <w:name w:val="Текст выноски Знак"/>
    <w:link w:val="a6"/>
    <w:uiPriority w:val="99"/>
    <w:semiHidden/>
    <w:rsid w:val="00EA66C4"/>
    <w:rPr>
      <w:rFonts w:ascii="Tahoma" w:eastAsia="Times New Roman" w:hAnsi="Tahoma" w:cs="Tahoma"/>
      <w:sz w:val="16"/>
      <w:szCs w:val="16"/>
      <w:lang w:eastAsia="ru-RU"/>
    </w:rPr>
  </w:style>
  <w:style w:type="paragraph" w:customStyle="1" w:styleId="a">
    <w:name w:val="Подподпункт"/>
    <w:basedOn w:val="a0"/>
    <w:link w:val="a8"/>
    <w:rsid w:val="00FB04DA"/>
    <w:pPr>
      <w:numPr>
        <w:ilvl w:val="4"/>
        <w:numId w:val="10"/>
      </w:numPr>
      <w:spacing w:line="360" w:lineRule="auto"/>
      <w:jc w:val="both"/>
    </w:pPr>
    <w:rPr>
      <w:rFonts w:eastAsia="Calibri"/>
      <w:sz w:val="28"/>
      <w:szCs w:val="20"/>
    </w:rPr>
  </w:style>
  <w:style w:type="character" w:customStyle="1" w:styleId="10">
    <w:name w:val="Заголовок 1 Знак"/>
    <w:link w:val="1"/>
    <w:uiPriority w:val="9"/>
    <w:rsid w:val="00030A9E"/>
    <w:rPr>
      <w:rFonts w:ascii="Cambria" w:eastAsia="Times New Roman" w:hAnsi="Cambria" w:cs="Times New Roman"/>
      <w:b/>
      <w:bCs/>
      <w:color w:val="365F91"/>
      <w:sz w:val="28"/>
      <w:szCs w:val="28"/>
      <w:lang w:eastAsia="ru-RU"/>
    </w:rPr>
  </w:style>
  <w:style w:type="paragraph" w:styleId="11">
    <w:name w:val="toc 1"/>
    <w:basedOn w:val="a0"/>
    <w:next w:val="a0"/>
    <w:autoRedefine/>
    <w:uiPriority w:val="39"/>
    <w:rsid w:val="00030A9E"/>
    <w:pPr>
      <w:keepNext/>
      <w:tabs>
        <w:tab w:val="left" w:pos="1134"/>
        <w:tab w:val="left" w:pos="9355"/>
      </w:tabs>
      <w:spacing w:before="120" w:after="120"/>
      <w:ind w:right="-1"/>
    </w:pPr>
    <w:rPr>
      <w:b/>
      <w:noProof/>
      <w:snapToGrid w:val="0"/>
      <w:sz w:val="28"/>
      <w:szCs w:val="20"/>
    </w:rPr>
  </w:style>
  <w:style w:type="paragraph" w:styleId="3">
    <w:name w:val="Body Text 3"/>
    <w:basedOn w:val="a0"/>
    <w:link w:val="30"/>
    <w:rsid w:val="00030A9E"/>
    <w:pPr>
      <w:spacing w:after="120" w:line="360" w:lineRule="auto"/>
      <w:ind w:firstLine="851"/>
      <w:jc w:val="both"/>
    </w:pPr>
    <w:rPr>
      <w:snapToGrid w:val="0"/>
      <w:sz w:val="16"/>
      <w:szCs w:val="16"/>
    </w:rPr>
  </w:style>
  <w:style w:type="character" w:customStyle="1" w:styleId="30">
    <w:name w:val="Основной текст 3 Знак"/>
    <w:link w:val="3"/>
    <w:rsid w:val="00030A9E"/>
    <w:rPr>
      <w:rFonts w:ascii="Times New Roman" w:eastAsia="Times New Roman" w:hAnsi="Times New Roman" w:cs="Times New Roman"/>
      <w:snapToGrid w:val="0"/>
      <w:sz w:val="16"/>
      <w:szCs w:val="16"/>
      <w:lang w:eastAsia="ru-RU"/>
    </w:rPr>
  </w:style>
  <w:style w:type="paragraph" w:styleId="a9">
    <w:name w:val="Plain Text"/>
    <w:basedOn w:val="a0"/>
    <w:link w:val="aa"/>
    <w:rsid w:val="00030A9E"/>
    <w:rPr>
      <w:rFonts w:ascii="Courier New" w:eastAsia="Calibri" w:hAnsi="Courier New" w:cs="Courier New"/>
      <w:sz w:val="20"/>
      <w:szCs w:val="20"/>
    </w:rPr>
  </w:style>
  <w:style w:type="character" w:customStyle="1" w:styleId="aa">
    <w:name w:val="Текст Знак"/>
    <w:link w:val="a9"/>
    <w:rsid w:val="00030A9E"/>
    <w:rPr>
      <w:rFonts w:ascii="Courier New" w:eastAsia="Calibri" w:hAnsi="Courier New" w:cs="Courier New"/>
      <w:sz w:val="20"/>
      <w:szCs w:val="20"/>
      <w:lang w:eastAsia="ru-RU"/>
    </w:rPr>
  </w:style>
  <w:style w:type="character" w:styleId="ab">
    <w:name w:val="Hyperlink"/>
    <w:uiPriority w:val="99"/>
    <w:unhideWhenUsed/>
    <w:rsid w:val="00030A9E"/>
    <w:rPr>
      <w:color w:val="0000FF"/>
      <w:u w:val="single"/>
    </w:rPr>
  </w:style>
  <w:style w:type="character" w:customStyle="1" w:styleId="a8">
    <w:name w:val="Подподпункт Знак"/>
    <w:link w:val="a"/>
    <w:locked/>
    <w:rsid w:val="005A7ACB"/>
    <w:rPr>
      <w:rFonts w:ascii="Times New Roman" w:hAnsi="Times New Roman"/>
      <w:sz w:val="28"/>
    </w:rPr>
  </w:style>
  <w:style w:type="paragraph" w:styleId="ac">
    <w:name w:val="footnote text"/>
    <w:basedOn w:val="a0"/>
    <w:link w:val="ad"/>
    <w:uiPriority w:val="99"/>
    <w:semiHidden/>
    <w:unhideWhenUsed/>
    <w:rsid w:val="00BB5D1D"/>
    <w:rPr>
      <w:sz w:val="20"/>
      <w:szCs w:val="20"/>
    </w:rPr>
  </w:style>
  <w:style w:type="character" w:customStyle="1" w:styleId="ad">
    <w:name w:val="Текст сноски Знак"/>
    <w:link w:val="ac"/>
    <w:uiPriority w:val="99"/>
    <w:semiHidden/>
    <w:rsid w:val="00BB5D1D"/>
    <w:rPr>
      <w:rFonts w:ascii="Times New Roman" w:eastAsia="Times New Roman" w:hAnsi="Times New Roman"/>
    </w:rPr>
  </w:style>
  <w:style w:type="character" w:styleId="ae">
    <w:name w:val="footnote reference"/>
    <w:uiPriority w:val="99"/>
    <w:semiHidden/>
    <w:unhideWhenUsed/>
    <w:rsid w:val="00BB5D1D"/>
    <w:rPr>
      <w:vertAlign w:val="superscript"/>
    </w:rPr>
  </w:style>
  <w:style w:type="paragraph" w:styleId="af">
    <w:name w:val="endnote text"/>
    <w:basedOn w:val="a0"/>
    <w:link w:val="af0"/>
    <w:uiPriority w:val="99"/>
    <w:semiHidden/>
    <w:unhideWhenUsed/>
    <w:rsid w:val="0077463B"/>
    <w:rPr>
      <w:sz w:val="20"/>
      <w:szCs w:val="20"/>
    </w:rPr>
  </w:style>
  <w:style w:type="character" w:customStyle="1" w:styleId="af0">
    <w:name w:val="Текст концевой сноски Знак"/>
    <w:link w:val="af"/>
    <w:uiPriority w:val="99"/>
    <w:semiHidden/>
    <w:rsid w:val="0077463B"/>
    <w:rPr>
      <w:rFonts w:ascii="Times New Roman" w:eastAsia="Times New Roman" w:hAnsi="Times New Roman"/>
    </w:rPr>
  </w:style>
  <w:style w:type="character" w:styleId="af1">
    <w:name w:val="endnote reference"/>
    <w:uiPriority w:val="99"/>
    <w:semiHidden/>
    <w:unhideWhenUsed/>
    <w:rsid w:val="0077463B"/>
    <w:rPr>
      <w:vertAlign w:val="superscript"/>
    </w:rPr>
  </w:style>
  <w:style w:type="character" w:customStyle="1" w:styleId="blk">
    <w:name w:val="blk"/>
    <w:rsid w:val="0077463B"/>
  </w:style>
  <w:style w:type="paragraph" w:styleId="af2">
    <w:name w:val="header"/>
    <w:basedOn w:val="a0"/>
    <w:link w:val="af3"/>
    <w:uiPriority w:val="99"/>
    <w:unhideWhenUsed/>
    <w:rsid w:val="00785F0A"/>
    <w:pPr>
      <w:tabs>
        <w:tab w:val="center" w:pos="4677"/>
        <w:tab w:val="right" w:pos="9355"/>
      </w:tabs>
    </w:pPr>
  </w:style>
  <w:style w:type="character" w:customStyle="1" w:styleId="af3">
    <w:name w:val="Верхний колонтитул Знак"/>
    <w:link w:val="af2"/>
    <w:uiPriority w:val="99"/>
    <w:rsid w:val="00785F0A"/>
    <w:rPr>
      <w:rFonts w:ascii="Times New Roman" w:eastAsia="Times New Roman" w:hAnsi="Times New Roman"/>
      <w:sz w:val="24"/>
      <w:szCs w:val="24"/>
    </w:rPr>
  </w:style>
  <w:style w:type="paragraph" w:styleId="af4">
    <w:name w:val="footer"/>
    <w:basedOn w:val="a0"/>
    <w:link w:val="af5"/>
    <w:uiPriority w:val="99"/>
    <w:unhideWhenUsed/>
    <w:rsid w:val="00785F0A"/>
    <w:pPr>
      <w:tabs>
        <w:tab w:val="center" w:pos="4677"/>
        <w:tab w:val="right" w:pos="9355"/>
      </w:tabs>
    </w:pPr>
  </w:style>
  <w:style w:type="character" w:customStyle="1" w:styleId="af5">
    <w:name w:val="Нижний колонтитул Знак"/>
    <w:link w:val="af4"/>
    <w:uiPriority w:val="99"/>
    <w:rsid w:val="00785F0A"/>
    <w:rPr>
      <w:rFonts w:ascii="Times New Roman" w:eastAsia="Times New Roman" w:hAnsi="Times New Roman"/>
      <w:sz w:val="24"/>
      <w:szCs w:val="24"/>
    </w:rPr>
  </w:style>
  <w:style w:type="character" w:styleId="af6">
    <w:name w:val="annotation reference"/>
    <w:uiPriority w:val="99"/>
    <w:semiHidden/>
    <w:unhideWhenUsed/>
    <w:rsid w:val="00D1034D"/>
    <w:rPr>
      <w:sz w:val="16"/>
      <w:szCs w:val="16"/>
    </w:rPr>
  </w:style>
  <w:style w:type="paragraph" w:styleId="af7">
    <w:name w:val="annotation text"/>
    <w:basedOn w:val="a0"/>
    <w:link w:val="af8"/>
    <w:uiPriority w:val="99"/>
    <w:semiHidden/>
    <w:unhideWhenUsed/>
    <w:rsid w:val="00D1034D"/>
    <w:rPr>
      <w:sz w:val="20"/>
      <w:szCs w:val="20"/>
    </w:rPr>
  </w:style>
  <w:style w:type="character" w:customStyle="1" w:styleId="af8">
    <w:name w:val="Текст примечания Знак"/>
    <w:link w:val="af7"/>
    <w:uiPriority w:val="99"/>
    <w:semiHidden/>
    <w:rsid w:val="00D1034D"/>
    <w:rPr>
      <w:rFonts w:ascii="Times New Roman" w:eastAsia="Times New Roman" w:hAnsi="Times New Roman"/>
    </w:rPr>
  </w:style>
  <w:style w:type="paragraph" w:styleId="af9">
    <w:name w:val="annotation subject"/>
    <w:basedOn w:val="af7"/>
    <w:next w:val="af7"/>
    <w:link w:val="afa"/>
    <w:uiPriority w:val="99"/>
    <w:semiHidden/>
    <w:unhideWhenUsed/>
    <w:rsid w:val="00D1034D"/>
    <w:rPr>
      <w:b/>
      <w:bCs/>
    </w:rPr>
  </w:style>
  <w:style w:type="character" w:customStyle="1" w:styleId="afa">
    <w:name w:val="Тема примечания Знак"/>
    <w:link w:val="af9"/>
    <w:uiPriority w:val="99"/>
    <w:semiHidden/>
    <w:rsid w:val="00D1034D"/>
    <w:rPr>
      <w:rFonts w:ascii="Times New Roman" w:eastAsia="Times New Roman" w:hAnsi="Times New Roman"/>
      <w:b/>
      <w:bCs/>
    </w:rPr>
  </w:style>
  <w:style w:type="paragraph" w:customStyle="1" w:styleId="Default">
    <w:name w:val="Default"/>
    <w:rsid w:val="0056217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46039">
      <w:bodyDiv w:val="1"/>
      <w:marLeft w:val="0"/>
      <w:marRight w:val="0"/>
      <w:marTop w:val="0"/>
      <w:marBottom w:val="0"/>
      <w:divBdr>
        <w:top w:val="none" w:sz="0" w:space="0" w:color="auto"/>
        <w:left w:val="none" w:sz="0" w:space="0" w:color="auto"/>
        <w:bottom w:val="none" w:sz="0" w:space="0" w:color="auto"/>
        <w:right w:val="none" w:sz="0" w:space="0" w:color="auto"/>
      </w:divBdr>
    </w:div>
    <w:div w:id="405344092">
      <w:bodyDiv w:val="1"/>
      <w:marLeft w:val="0"/>
      <w:marRight w:val="0"/>
      <w:marTop w:val="0"/>
      <w:marBottom w:val="0"/>
      <w:divBdr>
        <w:top w:val="none" w:sz="0" w:space="0" w:color="auto"/>
        <w:left w:val="none" w:sz="0" w:space="0" w:color="auto"/>
        <w:bottom w:val="none" w:sz="0" w:space="0" w:color="auto"/>
        <w:right w:val="none" w:sz="0" w:space="0" w:color="auto"/>
      </w:divBdr>
    </w:div>
    <w:div w:id="456292535">
      <w:bodyDiv w:val="1"/>
      <w:marLeft w:val="0"/>
      <w:marRight w:val="0"/>
      <w:marTop w:val="0"/>
      <w:marBottom w:val="0"/>
      <w:divBdr>
        <w:top w:val="none" w:sz="0" w:space="0" w:color="auto"/>
        <w:left w:val="none" w:sz="0" w:space="0" w:color="auto"/>
        <w:bottom w:val="none" w:sz="0" w:space="0" w:color="auto"/>
        <w:right w:val="none" w:sz="0" w:space="0" w:color="auto"/>
      </w:divBdr>
    </w:div>
    <w:div w:id="480971840">
      <w:bodyDiv w:val="1"/>
      <w:marLeft w:val="0"/>
      <w:marRight w:val="0"/>
      <w:marTop w:val="0"/>
      <w:marBottom w:val="0"/>
      <w:divBdr>
        <w:top w:val="none" w:sz="0" w:space="0" w:color="auto"/>
        <w:left w:val="none" w:sz="0" w:space="0" w:color="auto"/>
        <w:bottom w:val="none" w:sz="0" w:space="0" w:color="auto"/>
        <w:right w:val="none" w:sz="0" w:space="0" w:color="auto"/>
      </w:divBdr>
    </w:div>
    <w:div w:id="936594053">
      <w:bodyDiv w:val="1"/>
      <w:marLeft w:val="0"/>
      <w:marRight w:val="0"/>
      <w:marTop w:val="0"/>
      <w:marBottom w:val="0"/>
      <w:divBdr>
        <w:top w:val="none" w:sz="0" w:space="0" w:color="auto"/>
        <w:left w:val="none" w:sz="0" w:space="0" w:color="auto"/>
        <w:bottom w:val="none" w:sz="0" w:space="0" w:color="auto"/>
        <w:right w:val="none" w:sz="0" w:space="0" w:color="auto"/>
      </w:divBdr>
    </w:div>
    <w:div w:id="1057707262">
      <w:bodyDiv w:val="1"/>
      <w:marLeft w:val="0"/>
      <w:marRight w:val="0"/>
      <w:marTop w:val="0"/>
      <w:marBottom w:val="0"/>
      <w:divBdr>
        <w:top w:val="none" w:sz="0" w:space="0" w:color="auto"/>
        <w:left w:val="none" w:sz="0" w:space="0" w:color="auto"/>
        <w:bottom w:val="none" w:sz="0" w:space="0" w:color="auto"/>
        <w:right w:val="none" w:sz="0" w:space="0" w:color="auto"/>
      </w:divBdr>
    </w:div>
    <w:div w:id="1263682323">
      <w:bodyDiv w:val="1"/>
      <w:marLeft w:val="0"/>
      <w:marRight w:val="0"/>
      <w:marTop w:val="0"/>
      <w:marBottom w:val="0"/>
      <w:divBdr>
        <w:top w:val="none" w:sz="0" w:space="0" w:color="auto"/>
        <w:left w:val="none" w:sz="0" w:space="0" w:color="auto"/>
        <w:bottom w:val="none" w:sz="0" w:space="0" w:color="auto"/>
        <w:right w:val="none" w:sz="0" w:space="0" w:color="auto"/>
      </w:divBdr>
      <w:divsChild>
        <w:div w:id="1582374856">
          <w:marLeft w:val="0"/>
          <w:marRight w:val="0"/>
          <w:marTop w:val="0"/>
          <w:marBottom w:val="0"/>
          <w:divBdr>
            <w:top w:val="none" w:sz="0" w:space="0" w:color="auto"/>
            <w:left w:val="none" w:sz="0" w:space="0" w:color="auto"/>
            <w:bottom w:val="none" w:sz="0" w:space="0" w:color="auto"/>
            <w:right w:val="none" w:sz="0" w:space="0" w:color="auto"/>
          </w:divBdr>
        </w:div>
      </w:divsChild>
    </w:div>
    <w:div w:id="135256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nmarket.ru" TargetMode="External"/><Relationship Id="rId24" Type="http://schemas.openxmlformats.org/officeDocument/2006/relationships/image" Target="media/image7.w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10" Type="http://schemas.openxmlformats.org/officeDocument/2006/relationships/hyperlink" Target="http://www.nalog.ru" TargetMode="External"/><Relationship Id="rId19" Type="http://schemas.openxmlformats.org/officeDocument/2006/relationships/oleObject" Target="embeddings/oleObject4.bin"/><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fssprus.ru" TargetMode="Externa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D76F7-F9B1-48CD-B2B8-6812E41AF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3195</Words>
  <Characters>18212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21365</CharactersWithSpaces>
  <SharedDoc>false</SharedDoc>
  <HLinks>
    <vt:vector size="18" baseType="variant">
      <vt:variant>
        <vt:i4>24</vt:i4>
      </vt:variant>
      <vt:variant>
        <vt:i4>6</vt:i4>
      </vt:variant>
      <vt:variant>
        <vt:i4>0</vt:i4>
      </vt:variant>
      <vt:variant>
        <vt:i4>5</vt:i4>
      </vt:variant>
      <vt:variant>
        <vt:lpwstr>http://www.finmarket.ru/</vt:lpwstr>
      </vt:variant>
      <vt:variant>
        <vt:lpwstr/>
      </vt:variant>
      <vt:variant>
        <vt:i4>1245189</vt:i4>
      </vt:variant>
      <vt:variant>
        <vt:i4>3</vt:i4>
      </vt:variant>
      <vt:variant>
        <vt:i4>0</vt:i4>
      </vt:variant>
      <vt:variant>
        <vt:i4>5</vt:i4>
      </vt:variant>
      <vt:variant>
        <vt:lpwstr>http://www.nalog.ru/</vt:lpwstr>
      </vt:variant>
      <vt:variant>
        <vt:lpwstr/>
      </vt:variant>
      <vt:variant>
        <vt:i4>6422564</vt:i4>
      </vt:variant>
      <vt:variant>
        <vt:i4>0</vt:i4>
      </vt:variant>
      <vt:variant>
        <vt:i4>0</vt:i4>
      </vt:variant>
      <vt:variant>
        <vt:i4>5</vt:i4>
      </vt:variant>
      <vt:variant>
        <vt:lpwstr>http://fssprus.ru/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Чуясова Елена Геннадьевна</cp:lastModifiedBy>
  <cp:revision>10</cp:revision>
  <cp:lastPrinted>2015-06-29T08:00:00Z</cp:lastPrinted>
  <dcterms:created xsi:type="dcterms:W3CDTF">2015-06-15T13:21:00Z</dcterms:created>
  <dcterms:modified xsi:type="dcterms:W3CDTF">2016-04-29T07:31:00Z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