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Pr="00327CB3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ТЕХНИЧЕСКОЕ ЗАДАНИЕ</w:t>
      </w: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AA68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оказание услуг </w:t>
      </w:r>
      <w:proofErr w:type="gramStart"/>
      <w:r w:rsidR="00AA68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</w:t>
      </w:r>
      <w:proofErr w:type="gramEnd"/>
    </w:p>
    <w:p w:rsidR="00327CB3" w:rsidRPr="00327CB3" w:rsidRDefault="00327CB3" w:rsidP="00327CB3">
      <w:pPr>
        <w:suppressAutoHyphens/>
        <w:spacing w:after="0"/>
        <w:ind w:right="-9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AA68B9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омплексно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энергетическо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обследовани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</w:t>
      </w:r>
      <w:r w:rsid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объектов 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АО «Дальневосточная распределительная сетевая компания»</w:t>
      </w:r>
      <w:r w:rsidR="00327CB3" w:rsidRPr="00327CB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22" w:rsidRDefault="00735522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22" w:rsidRPr="00327CB3" w:rsidRDefault="00735522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7817"/>
      </w:tblGrid>
      <w:tr w:rsidR="00327CB3" w:rsidRPr="00327CB3" w:rsidTr="006F41A3">
        <w:trPr>
          <w:trHeight w:val="184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br w:type="page"/>
            </w:r>
            <w:r w:rsidR="0072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Основание для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Энергетическое обследование проводится в соответствии со следующими законами, нормативно-правовыми актами и документами:</w:t>
            </w:r>
          </w:p>
          <w:p w:rsid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291D74" w:rsidRPr="00291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закон от 23.11.2009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91D74" w:rsidRPr="00291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 261-ФЗ (ред. от 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  <w:r w:rsidR="00291D74" w:rsidRPr="00291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.12.2014)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CF7C13" w:rsidRDefault="00CF7C13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t xml:space="preserve"> </w:t>
            </w:r>
            <w:r w:rsidRPr="00CF7C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закон от 28.12.2013 N 399-ФЗ "О внесении изменений в Федеральный закон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7397D" w:rsidRDefault="0087397D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739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закон от 01.12.2007 № 315-ФЗ «О саморегулируемых организациях»;</w:t>
            </w:r>
          </w:p>
          <w:p w:rsidR="00C36EED" w:rsidRPr="003F4EBC" w:rsidRDefault="00C36EED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Приказ Минэнерго РФ от 30.06.2014г. №400 «Об утверждении требований к проведению энергетического обследования и его результатам и правил направления копий энергетического паспорта составленного по результатам обязательного энергетического обследования»;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C2021" w:rsidRP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Постановление Правительства РФ от 15.05.2010 N 340 (ред. от 16.05.2014) "О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 (вместе с "Правилами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деятельности")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C2021" w:rsidRP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 Минэнерго </w:t>
            </w:r>
            <w:r w:rsidR="00CC2021"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C36EED"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</w:t>
            </w:r>
            <w:r w:rsidR="00CC2021" w:rsidRP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 30.06.2014 N 398 "Об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реализации" (Зарегистрировано в Минюсте России 04.08.2014 N 33449)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«Энергетической стратегией России на период до 2030 года» (ЭС-2030), утвержденной Распоряжением Правительства РФ N 1715-р от 13 ноября 2009 г.; 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«Основными направлениями государственной политики в сфере повышения энергетической эффективности электроэнергетики на основе использования возобновляемых источников энергии на период до 2020г.», утвержденными Распоряжением Правительства РФ № 1-р от 08.01.2009 г.; </w:t>
            </w:r>
          </w:p>
          <w:p w:rsidR="00327CB3" w:rsidRDefault="003F4EBC" w:rsidP="00570618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5706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Техническая политика ОАО «РАО Энергетические Системы Востока» на период </w:t>
            </w:r>
            <w:r w:rsidR="00D053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5706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2020 г.</w:t>
            </w:r>
            <w:r w:rsidR="00300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002DE" w:rsidRDefault="003002DE" w:rsidP="00570618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Регламент формирования, согласования, утверждения, реализации и мониторинга выполнения программ в области энергосбережения и повышения энергетической эффективности организаций, осуществляющих регулируемые виды деятельности, утвержденный приказом ОАО «РАО ЭС Востока» от 01.12.2014г. №</w:t>
            </w:r>
            <w:r w:rsid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188.</w:t>
            </w:r>
          </w:p>
          <w:p w:rsidR="00CF7C13" w:rsidRPr="00327CB3" w:rsidRDefault="00CF7C13" w:rsidP="00570618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Заказчик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АО «Дальневосточная распределительная сетевая компания»</w:t>
            </w:r>
          </w:p>
          <w:p w:rsidR="00A5545B" w:rsidRPr="00327CB3" w:rsidRDefault="00A5545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0999" w:rsidRPr="00327CB3" w:rsidTr="006F41A3">
        <w:trPr>
          <w:trHeight w:val="51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20999" w:rsidRPr="00327CB3" w:rsidRDefault="00720999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Исполнитель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20999" w:rsidRDefault="00720999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9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Исполнитель – победитель открытого конкурса.</w:t>
            </w:r>
          </w:p>
          <w:p w:rsidR="00A5545B" w:rsidRPr="00327CB3" w:rsidRDefault="00A5545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Цель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DA5555" w:rsidRPr="00327CB3" w:rsidRDefault="00232F9E" w:rsidP="00735522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Целью энергетического обследования является анализ энергетической эффективности</w:t>
            </w:r>
            <w:r w:rsidRPr="00D92F72">
              <w:t xml:space="preserve"> </w:t>
            </w: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передачи электрической энергии по сетям АО «ДРСК», а так же использования энергетических ресурсов Обществом</w:t>
            </w:r>
            <w:r w:rsidR="009804CB"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</w:t>
            </w:r>
            <w:r w:rsidR="009804CB"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выявления возможностей энергосбережения и повышения энергетической эффективности с отражением полученных результатов в энергетическом паспорте </w:t>
            </w: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предприятия</w:t>
            </w:r>
            <w:r w:rsidR="009804CB"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570618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0618" w:rsidRPr="00327CB3" w:rsidRDefault="00570618" w:rsidP="00570618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Задачи энергетического обследования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579DD" w:rsidRDefault="00C579DD" w:rsidP="00570618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реализации поставленной цели настоящего Технического задания </w:t>
            </w:r>
            <w:r w:rsid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предусматривается решение следующих задач:</w:t>
            </w:r>
          </w:p>
          <w:p w:rsidR="00E11442" w:rsidRDefault="00E11442" w:rsidP="00A81B3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5.1. проведение энергетического обследования на объектах, определенных Заказчиком в договоре;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5.2. сбор информации об объекте энергетического обследования;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5.3.</w:t>
            </w:r>
            <w:r w:rsidRPr="00764C18">
              <w:t xml:space="preserve"> </w:t>
            </w: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обработка и анализ сведений, полученных по результатам сбора информации об объекте энергетического обследования;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5.4.</w:t>
            </w:r>
            <w:r w:rsidRPr="00764C18">
              <w:t xml:space="preserve"> </w:t>
            </w: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визуальный осмотр и инструментальное обследование объекта энергетического обследования;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5.5.</w:t>
            </w:r>
            <w:r w:rsidRPr="00764C18">
              <w:t xml:space="preserve"> </w:t>
            </w: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обработка и анализ сведений, полученных по результатам визуального осмотра и инструментального обследования объекта энергетического обследования;</w:t>
            </w:r>
          </w:p>
          <w:p w:rsidR="00764C18" w:rsidRPr="00FD2CA7" w:rsidRDefault="00764C18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5.6. определение приоритетных направлений энергосбережения;</w:t>
            </w:r>
          </w:p>
          <w:p w:rsidR="00764C18" w:rsidRPr="00FD2CA7" w:rsidRDefault="00764C18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5.7. определение показателей энергетической эффективности</w:t>
            </w:r>
            <w:r w:rsidR="0022189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2189F" w:rsidRPr="00FD2CA7" w:rsidRDefault="0022189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5.8.определение потенциала энергосбережения и повышения энергетической эффективности;</w:t>
            </w:r>
          </w:p>
          <w:p w:rsidR="00764C18" w:rsidRPr="00FD2CA7" w:rsidRDefault="00764C18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разработка и обоснование перечня типовых и отличных от типовых мероприятий по энергосбережению и повышению энергетической эффективности</w:t>
            </w:r>
            <w:r w:rsidR="0022189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адресной привязкой к конкретным объектам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proofErr w:type="gramEnd"/>
          </w:p>
          <w:p w:rsidR="001E31BD" w:rsidRPr="00FD2CA7" w:rsidRDefault="00E21A7F" w:rsidP="0012506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разработка, составление и заполнение отчета</w:t>
            </w:r>
            <w:r w:rsidR="001E31B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основании обработанных и проанализированных сведений, полученных по результатам сбора информации об объекте энергетического обследования, его визуального осмотра и инструментального обследования;</w:t>
            </w:r>
          </w:p>
          <w:p w:rsidR="00E11442" w:rsidRPr="00FD2CA7" w:rsidRDefault="001E31BD" w:rsidP="0012506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764C18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разработка, составление</w:t>
            </w:r>
            <w:r w:rsidR="00E21A7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заполнение </w:t>
            </w:r>
            <w:r w:rsidR="00E21A7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энергетического паспорта,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основании сведений, указанных в отчете, составленном по результатам энергетического обследования</w:t>
            </w:r>
            <w:r w:rsidR="0012506E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36E3B" w:rsidRPr="00FD2CA7" w:rsidRDefault="00836E3B" w:rsidP="0012506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5.12. </w:t>
            </w:r>
            <w:r w:rsidR="00E906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регистрация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энергетического паспорта в СРО;</w:t>
            </w:r>
          </w:p>
          <w:p w:rsidR="0012506E" w:rsidRDefault="0012506E" w:rsidP="00764C18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764C18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131B9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регистрация энергетического паспорта в Минэнерго РФ</w:t>
            </w:r>
            <w:r w:rsidR="00EA1953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внесение энергетического паспорта в Государственную информационную систему</w:t>
            </w:r>
            <w:r w:rsidR="00131B9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64C18" w:rsidRPr="00570618" w:rsidRDefault="00764C18" w:rsidP="00764C18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CD7E2C" w:rsidP="00CD7E2C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D7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Краткое описание этапов энергетического обследования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35DD3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6.1.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Документальное обследование: </w:t>
            </w:r>
            <w:r w:rsidR="00722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бор данных о предприятии и структурных подразделениях Заказчика, технической и технологической документации предприятия (схемах 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энергоснабжения</w:t>
            </w:r>
            <w:r w:rsidR="006B0DB5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теплоснабжения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6B0D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оборудовании, режимах работы, схем технического и 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ерческого учета</w:t>
            </w:r>
            <w:r w:rsidR="00435D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данных по автотранспорту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т.д.), для получения объективных данных об объеме используемых предприятием и передаваемых потребителям энергетических ресурсов и оценки потенциала энергосбережения предприятия.</w:t>
            </w:r>
            <w:r w:rsidR="008E14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End"/>
          </w:p>
          <w:p w:rsidR="00CD7E2C" w:rsidRPr="00FD2CA7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6.2. Инструментальное обследование</w:t>
            </w:r>
            <w:r w:rsidR="003C3645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включающее в себя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тепловизионное</w:t>
            </w:r>
            <w:proofErr w:type="spellEnd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обследование зданий и сооружений, а также</w:t>
            </w:r>
            <w:r w:rsidR="003C3645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необходимое обследование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состояния основного оборудования распределительных и трансформаторных подстанций.</w:t>
            </w:r>
          </w:p>
          <w:p w:rsidR="00CD7E2C" w:rsidRPr="00FD2CA7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6.3.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Анализ,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обобщение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обработка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информации по результатам документального и инструментального обследования</w:t>
            </w:r>
            <w:r w:rsidR="00466F2A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(анализ систем электроснабжения, теплоснабжения, водоснабжения и водоотведения</w:t>
            </w:r>
            <w:r w:rsidR="008E1482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расхода ГСМ</w:t>
            </w:r>
            <w:r w:rsidR="00466F2A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объектов производственно-технических нужд и объектов электросетевого хозяйства с оформлением единого сводно-обзорного технического отчета с детализацией до производственных отделений филиалов.</w:t>
            </w:r>
          </w:p>
          <w:p w:rsidR="00CD7E2C" w:rsidRPr="00FD2CA7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6.4.Разработка перечня типовых и отличных от типовых мероприятий по энергосбережению и повышению энергетической эффективности</w:t>
            </w:r>
            <w:r w:rsidR="00BE050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выполнением развернутого технико-экономическ</w:t>
            </w:r>
            <w:r w:rsidR="00553730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</w:t>
            </w:r>
            <w:r w:rsidR="00BE050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расчета по внедрению предлагаемых мероприятий. Указанная информация должна содержать, как данные по ожидаемой технической реализации проекта (стоимость, количественные характеристики планируемого объема внедрения), так и оценку коммерческой эффективности </w:t>
            </w:r>
            <w:r w:rsidR="006D1D60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реализации</w:t>
            </w:r>
            <w:r w:rsidR="00553730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A5CF6" w:rsidRPr="00FD2CA7" w:rsidRDefault="00DA5CF6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данном этапе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также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проводится:</w:t>
            </w:r>
          </w:p>
          <w:p w:rsidR="00DA5CF6" w:rsidRPr="00FD2CA7" w:rsidRDefault="00DA5CF6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ранжиро</w:t>
            </w:r>
            <w:r w:rsidR="00D70A79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вание по срокам реализации, затратам (стоимости), окуп</w:t>
            </w:r>
            <w:r w:rsidR="008F1181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аемости и очередности внедрения мероприятий по энергосбережению и энергетической эффективности, полученных по результатам  энергетических обследований, осуществление которых технически возможно в обследуемой организации, с адресной привязкой к конкретным объектам;</w:t>
            </w:r>
          </w:p>
          <w:p w:rsidR="008F1181" w:rsidRPr="00FD2CA7" w:rsidRDefault="008F1181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предоставление Заказчику сведений о путях реализации разработанных мероприятий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A3177" w:rsidRPr="00FD2CA7" w:rsidRDefault="008A3177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обоснование разработанных мероприятий.</w:t>
            </w:r>
          </w:p>
          <w:p w:rsidR="00466F2A" w:rsidRPr="00FD2CA7" w:rsidRDefault="00466F2A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6.5.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Документирование результатов </w:t>
            </w:r>
            <w:proofErr w:type="spell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энергообследования</w:t>
            </w:r>
            <w:proofErr w:type="spellEnd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6.6.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Составление отчетов по результатам </w:t>
            </w:r>
            <w:proofErr w:type="spell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энергообследования</w:t>
            </w:r>
            <w:proofErr w:type="spellEnd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 анализом:</w:t>
            </w:r>
          </w:p>
          <w:p w:rsidR="00CD5D82" w:rsidRPr="00FD2CA7" w:rsidRDefault="00CD5D82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общих сведений об объекте энергетического обследования;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-состояния энергетических систем, системы подачи и использования воды;</w:t>
            </w:r>
          </w:p>
          <w:p w:rsidR="00CD5D82" w:rsidRPr="00FD2CA7" w:rsidRDefault="00CD5D82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оснащенности приборами учета;</w:t>
            </w:r>
          </w:p>
          <w:p w:rsidR="00CD5D82" w:rsidRPr="00FD2CA7" w:rsidRDefault="00CD5D82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сведений о потреблении энергетических ресурсов и его изменениях;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характеристик здания;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оценки эффективности использования энергоресурсов и воды;</w:t>
            </w:r>
          </w:p>
          <w:p w:rsidR="00466F2A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причин нерационального</w:t>
            </w:r>
            <w:r w:rsidRPr="00466F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расхода энергоресурсов и воды;</w:t>
            </w:r>
          </w:p>
          <w:p w:rsidR="009B139D" w:rsidRPr="00466F2A" w:rsidRDefault="009B139D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243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расхода </w:t>
            </w:r>
            <w:r w:rsidR="006D1D60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ГСМ;</w:t>
            </w:r>
          </w:p>
          <w:p w:rsidR="00466F2A" w:rsidRPr="00CD7E2C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466F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расчетом показателей экономической эффективности предлагаемых мероприятий по энергосбережению и повышению энергоэффективности</w:t>
            </w:r>
            <w:r w:rsidR="000319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31909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указанием объемов затрат (без НДС) на их реализацию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6D1D60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466F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по результатам энергетического обследования энергетического паспорта предприятия на основании приказа Министерства энергетики Российской Федерации 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5D13A6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30.06.2014г. №400</w:t>
            </w:r>
            <w:r w:rsidR="002A5268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2A5268" w:rsidRPr="006D1D60" w:rsidRDefault="002A5268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6.8. </w:t>
            </w:r>
            <w:r w:rsidR="00E9060A" w:rsidRPr="00E906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Согласование отчетных документов (в том числе энергетического паспорта) с Заказчиком.</w:t>
            </w:r>
          </w:p>
          <w:p w:rsidR="0087397D" w:rsidRPr="006D1D60" w:rsidRDefault="0087397D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="002A5268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Экспертиза энергетического паспорта в СРО.</w:t>
            </w:r>
          </w:p>
          <w:p w:rsidR="0087397D" w:rsidRDefault="0087397D" w:rsidP="002A526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="002A5268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.Регистрация энергетического паспорта в </w:t>
            </w:r>
            <w:r w:rsidR="0028566D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Минэнерго РФ.</w:t>
            </w:r>
          </w:p>
          <w:p w:rsidR="00A5545B" w:rsidRPr="00327CB3" w:rsidRDefault="00A5545B" w:rsidP="002A526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Срок выполнения работ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Начало – дата подписания договора.</w:t>
            </w:r>
          </w:p>
          <w:p w:rsidR="00327CB3" w:rsidRDefault="00327CB3" w:rsidP="00D12EB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Окончание –</w:t>
            </w:r>
            <w:r w:rsidR="00DF1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F12CA" w:rsidRPr="00DF1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«___» ___________ 201</w:t>
            </w:r>
            <w:r w:rsidR="00DF1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  <w:r w:rsidR="00DF12CA" w:rsidRPr="00DF1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F41A3" w:rsidRDefault="00A31E12" w:rsidP="00A31E12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Промежуточные сроки по выполне</w:t>
            </w:r>
            <w:r w:rsidR="00722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нию отдельных этапов указаны в </w:t>
            </w: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Календарн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ом</w:t>
            </w: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оказания Услуг  (Приложение № 2 к Договору).</w:t>
            </w:r>
          </w:p>
          <w:p w:rsidR="00A5545B" w:rsidRPr="00327CB3" w:rsidRDefault="00A5545B" w:rsidP="00A31E12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ar-SA"/>
              </w:rPr>
            </w:pPr>
          </w:p>
        </w:tc>
      </w:tr>
      <w:tr w:rsidR="00D12EB0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D12EB0" w:rsidRPr="00327CB3" w:rsidRDefault="00D12EB0" w:rsidP="00D12EB0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Объекты энергетического обследования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D12EB0" w:rsidRPr="00327CB3" w:rsidRDefault="00D12EB0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</w:t>
            </w:r>
            <w:r w:rsidR="00375A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обследования в рамках </w:t>
            </w:r>
            <w:r w:rsidR="00375A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выполнения данной ра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боты отображены в Приложении №1 настоящего Технического задания</w:t>
            </w:r>
            <w:r w:rsidR="00375A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327CB3" w:rsidRPr="00327CB3" w:rsidTr="006F41A3">
        <w:trPr>
          <w:trHeight w:val="833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к выполнению работ и к оформлению результатов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15409" w:rsidRDefault="00070E22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="003F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п</w:t>
            </w:r>
            <w:r w:rsidR="007A4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энергетическому обследованию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АО «ДРСК» выполня</w:t>
            </w:r>
            <w:r w:rsidR="00C1629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тся на основании договора оказания услуг.</w:t>
            </w:r>
          </w:p>
          <w:p w:rsidR="00F15409" w:rsidRDefault="00070E22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  <w:r w:rsidR="003F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выполняются в соответствии с действующими законодательством</w:t>
            </w:r>
            <w:r w:rsidR="00095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5C87" w:rsidRPr="00435DD3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(федеральным законом №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261-ФЗ от 23.1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1.2009 «Об энергосбережении…»,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постановлениями и распоряжениями Правительства РФ, приказами Минэнерго России).</w:t>
            </w:r>
          </w:p>
          <w:p w:rsidR="00417330" w:rsidRPr="00327CB3" w:rsidRDefault="00070E22" w:rsidP="00417330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окончании всей работы  Исполнитель долже</w:t>
            </w:r>
            <w:r w:rsidR="00B4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 подготовить и предоставить в 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ДРСК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соответствующую 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документацию по резуль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работы, подготовленную с учётом общесистемного значения разработки. В случае наличия замечаний, Исполнитель должен выполнить соответствующую корректировку в разработанной им документации и предоставить в адрес Заказчика документацию, выполненную с учетом замечаний, в предварительно согласованные с Заказчиком сроки.</w:t>
            </w:r>
          </w:p>
          <w:p w:rsidR="000105EC" w:rsidRDefault="00070E22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  <w:r w:rsidR="000105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F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оказан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ых услуг является предоставление</w:t>
            </w:r>
            <w:r w:rsidR="00095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5C87" w:rsidRPr="00435DD3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зарегистрированного в Минэнерго РФ</w:t>
            </w:r>
            <w:r w:rsidR="007A4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энергетического паспорта 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«ДРСК» и копии извещения о приёме </w:t>
            </w:r>
            <w:r w:rsidR="00095C87" w:rsidRPr="00095C87">
              <w:rPr>
                <w:rFonts w:ascii="Times New Roman" w:eastAsia="Times New Roman" w:hAnsi="Times New Roman" w:cs="Times New Roman"/>
                <w:sz w:val="24"/>
                <w:szCs w:val="24"/>
              </w:rPr>
              <w:t>Минэнерго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 копии энергетического паспорта.</w:t>
            </w:r>
          </w:p>
          <w:p w:rsidR="00327CB3" w:rsidRPr="00327CB3" w:rsidRDefault="00070E22" w:rsidP="00417330">
            <w:pPr>
              <w:widowControl w:val="0"/>
              <w:tabs>
                <w:tab w:val="left" w:pos="1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="003F2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327CB3"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Требования к приемке Работ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.1. Приемка работы осуществляется поэтапно в очной/заочной форме (по выбору Заказчика) на основании представленных Исполнителем отчетных материалов, выполненных на бумажном носителе и материально-вещественной форме.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.2. Все документальные материалы в первой и окончательной редакции предварительно предоставляются Заказчику для согласования и внесения замечаний первоначально в электронном виде на электронные адреса назначенных кураторов-представителей Заказчика. Представление материалов для предварительного рассмотрения осуществляется не позднее, чем за 15 рабочих дней до завершения отчетного этапа работ.</w:t>
            </w:r>
          </w:p>
          <w:p w:rsidR="00327CB3" w:rsidRPr="00327CB3" w:rsidRDefault="00070E22" w:rsidP="00327CB3">
            <w:pPr>
              <w:shd w:val="clear" w:color="auto" w:fill="FFFFFF"/>
              <w:tabs>
                <w:tab w:val="left" w:pos="1276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.3.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Разработанная и согласованная с Заказчиком документация должна быть предоставлена Заказчику вместе с актом сдачи-приемки выполненной работы.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.4.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Отчеты и техническая документация должны быть разраб</w:t>
            </w:r>
            <w:r w:rsidR="00C61E1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таны и оформлены в соответствии с нормативными документами, указанными в настоящем техническом задании и представлены в бумажном виде в трёх экземплярах, с учетом следующих требований: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цвет шрифта должен быть черным;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номер страницы должен находиться в колонтитуле (в центре нижней части листа);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поля на каждой странице документа должны быть одинаковыми слева и справа, размеры полей листа: правое – 10 мм, верхнее, нижнее и левое - 20 мм;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основной текст документа должен иметь размер шрифта в 14 пунктов. Если в документе более 150 страниц, то основной текст документа должен иметь размер шрифта в 12 пунктов;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текст в таблицах должен иметь размер шрифта 12 пунктов.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proofErr w:type="gram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</w:t>
            </w:r>
            <w:proofErr w:type="gram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тчет в формате программного обеспечения Word должен быть отформатирован с использованием средств Word (абзацы, отступы, списки), должно присутствовать оглавление с гиперссылками на главы и разделы;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в тексте должны присутствовать ссылки на использованную литературу, перечень литературы должен прилагаться в конце документов.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.5.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Отчеты и техническая документация</w:t>
            </w:r>
            <w:r w:rsidR="00671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712DF" w:rsidRPr="00671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(кроме протоколов измерений)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представлены в бумажном виде </w:t>
            </w:r>
            <w:r w:rsidR="006712DF" w:rsidRPr="00671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2-х экз. 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 в электронном виде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(лазерный диск, флэш-карта)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3-х экз.: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 формате программного обеспечения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AdobeAcrobat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(файл с расширением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pdf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) с печатями и подписями руководителей на титульном листе. Файл должен включать в себя все страницы отчета (тома);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Форматы предоставления материалов на электронном носителе: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текстовая часть – в формате MS Word;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расчетная часть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Excel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активными формулами;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графическая часть – в формате ACAD,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jpeg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графики выполнения мероприятий -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Project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417330">
            <w:pPr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презентационные материалы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Power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Point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712DF" w:rsidRPr="006712DF" w:rsidRDefault="00327CB3" w:rsidP="006712DF">
            <w:pPr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- </w:t>
            </w: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титульный лист DVD диска должен содержать указание номера </w:t>
            </w:r>
            <w:r w:rsidR="006712DF"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Протоколы измерений представляются:</w:t>
            </w:r>
          </w:p>
          <w:p w:rsidR="006712DF" w:rsidRPr="006712DF" w:rsidRDefault="006712DF" w:rsidP="006712DF">
            <w:pPr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 в филиал</w:t>
            </w:r>
            <w:r w:rsidR="00994A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ы</w:t>
            </w: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ДРСК на бумажном носителе в 1 экз.;</w:t>
            </w:r>
          </w:p>
          <w:p w:rsidR="00327CB3" w:rsidRPr="00327CB3" w:rsidRDefault="006712DF" w:rsidP="006712DF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- в филиалы и исполнительный аппарат в электроном виде (сканы </w:t>
            </w: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оригиналов протоколов в </w:t>
            </w:r>
            <w:proofErr w:type="spellStart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pdf</w:t>
            </w:r>
            <w:proofErr w:type="spellEnd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формате) в 2-х </w:t>
            </w:r>
            <w:proofErr w:type="spellStart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экз</w:t>
            </w:r>
            <w:proofErr w:type="gramStart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</w:t>
            </w:r>
            <w:proofErr w:type="spellEnd"/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отчетные документы представляются на русском языке.</w:t>
            </w:r>
          </w:p>
          <w:p w:rsidR="00356964" w:rsidRDefault="00070E22" w:rsidP="006712DF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671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.6.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разработке, оформлении и изложении отчетных и других нормативно-технических документов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исполнитель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должен обеспечить выполнение требований действующего законодательств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</w:p>
          <w:p w:rsidR="00A5545B" w:rsidRPr="00356964" w:rsidRDefault="00A5545B" w:rsidP="006712DF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F05E13" w:rsidP="00F05E1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 </w:t>
            </w:r>
            <w:r w:rsidR="00327CB3"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Перечень и комплектность результатов работ, подлежащих приемке Заказчиком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EE4FAC" w:rsidRDefault="00EE4FAC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10.1.Перечень работ при проведении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энергоаудита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4B6F4B" w:rsidRDefault="004B6F4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4A6" w:rsidRDefault="00EE4FAC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10.1.1.</w:t>
            </w:r>
            <w:r w:rsid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664A6" w:rsidRPr="003664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Электрическая энергия</w:t>
            </w:r>
          </w:p>
          <w:p w:rsidR="003664A6" w:rsidRDefault="003664A6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664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характеристик электропотребления на СН по подстанциям: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Классификация объемов потребления электроэнергии на СН по составляющим, т.е. составление частных балансов электропотребления на СН подстанции;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 нагрузок потребления собственными нуждами подстанций: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загрузки трансформаторов собственных нужд;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потерь в линиях и трансформаторах собственных нужд;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 нагрузок потребления собственными нуждами подстанций по ПЭС;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Сравнение плановых (нормативных) и фактических значений потребления электроэнергии на собственные нужды (СН) подстанций.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Оценка величины фактора сезонности, т.е. осуществление сравнения, </w:t>
            </w:r>
            <w:proofErr w:type="gramStart"/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сколько</w:t>
            </w:r>
            <w:proofErr w:type="gramEnd"/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потребление электроэнергии в зимний период превышает потребление в летний период;</w:t>
            </w:r>
          </w:p>
          <w:p w:rsid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Классификация объемов потребления электроэнергии на СН по составляющим, т.е. составление частных балансов элек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тропотребления на СН подстанции;</w:t>
            </w:r>
          </w:p>
          <w:p w:rsidR="000F0647" w:rsidRDefault="000F0647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Выводы и рекомендации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проведенному анализу характеристик электропотребления на СН по ПС.</w:t>
            </w:r>
          </w:p>
          <w:p w:rsidR="003664A6" w:rsidRDefault="003664A6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отчетных и технических потерь электроэнергии за исследуемый период, определение и анализ структуры потерь электроэнергии: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Анализ схем основной электрической сети подразделений электрических сетей с учетом перспективы развития (вновь вводимых мощностей и отключения потребителей). 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характеристики нагрузок в том числе: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Оценка распределения нагрузок по подстанциям и вводам.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Оценка сезонности  нагрузок по подстанциям.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Определение фактических характеристик нагрузки (коэффициентов графиков нагрузок, среднесуточной, среднеквадратичной нагрузки, коэффициентов максимума нагрузки) с учетом фактора сезонности.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нагрузочных потерь электроэнергии в силовых трансформаторах и автотрансформаторах ПС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условно-постоянных потерь электроэнергии в том числе.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электроэнергии холостого хода в силовых трансформаторах;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электроэнергии в оборудовании подстанций;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в приборах учета электроэнергии (измерительных трансформаторах тока и напряжения, счетчиках прямого включения);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в высокочастотных заградителях связи;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в шунтирующих реакторах;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Обобщение и составление итогового баланса (по структуре) технологических потерь ПС;</w:t>
            </w:r>
          </w:p>
          <w:p w:rsidR="003664A6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Разработка мероприятий по снижению технологических потерь электроэнергии.</w:t>
            </w:r>
          </w:p>
          <w:p w:rsidR="003664A6" w:rsidRDefault="003664A6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Анализ потребления </w:t>
            </w:r>
            <w:r w:rsidR="000F06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электрической энергии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в зданиях, строениях и сооружениях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Оценка качественной характеристики потребления 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электроэнергии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зданиями, строениями и сооружениями.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 договорных условий на электро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снабжение, тарифов, лимитов, затрат.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Оценка метрологического обеспечения (оснащенности) учета </w:t>
            </w:r>
            <w:r w:rsidR="00042E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ЭЭ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числе: технического состояния и условий работы приборов учета зданий, строений и сооружений.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Составление баланса потребления ЭЭ зданиями, строениями и сооружениями ПС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эффективности использования ЭЭ основными потребителями в зданиях, строениях и сооружениях ПС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664A6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(в том числе выборочные контрольные светотехнические расчеты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измерения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состояния осветительных установок и эффективности использования электроэнергии на цели освещения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F0647" w:rsidRP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Выводы и рекомендации по рациональному использованию системы освещения;  </w:t>
            </w:r>
          </w:p>
          <w:p w:rsidR="000F0647" w:rsidRP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мероприятий по рациональному использованию системы освещения с оценкой их эффективности и объема затрат на их внедрение, приоритетности выполнения; 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Предложение в рекомендациях нескольких вариантов по модернизации системы освещения с учётом существующих нормативных требований к освещению (с предоставлением альтернативы), с предложением нескольких вариантов различных моделей светильников.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фактических и нормативных удельных расходов электроэнергии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кв. м площади, на одного человека);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электроэнергии;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Выводы и рекомендации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рациональному использованию электрической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энергии и снижению затрат на ее использование;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мероприятий по рациональному использованию электрической энергии с оценкой их эффективности и объема затрат на их внедрение, приоритетности выполнения.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метрологического обеспечения учета электроэнергии, условий работы приборов учета на ПС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технического состояния и условий работы приборов учета; сроков эксплуатации приборов учета; соблюдения периодичности поверки; организации ремонта, замены, поверки.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систем учёта ТЭР и разработка рекомендаций по их совершенствованию.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уровня недоучета (переучета) электроэнергии.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Расчет потерь электроэнергии допустимыми погрешностями системы учета электроэнергии.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допустимого и фактического небалансов электроэнергии по ИК.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характеристики фактической погрешности средств измерения на исследуемых подстанциях в реальных условиях эксплуатации ИК (на основе выборочных контрольных метрологических исследований измерительных цепей ИК и данных паспортов-протоколов ИК) в том числе: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Параметров работы и погрешности измерительных трансформаторов тока.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Параметров работы и погрешности измерительных трансформаторов напряжения.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Параметров работы измерительного комплекса и метрологических потерь электроэнергии на подстанциях.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и сезонное сравнение допустимых и фактических относительных потерь электроэнергии по ИК в базовом году.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Разработка рекомендаций по снижению потерь электроэнергии из-за погрешности ИК.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4FAC" w:rsidRPr="00AE4C93" w:rsidRDefault="00EE4FAC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10.1.2.</w:t>
            </w:r>
            <w:r w:rsid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E4C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E4C93" w:rsidRPr="00AE4C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Тепловая энергия</w:t>
            </w:r>
          </w:p>
          <w:p w:rsid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договорных условий на теплоснабжение, тарифов, лимитов, затрат;</w:t>
            </w:r>
          </w:p>
          <w:p w:rsid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фактического потребления тепловой энергии;</w:t>
            </w:r>
          </w:p>
          <w:p w:rsidR="00CA7B20" w:rsidRDefault="004B6F4B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Оценка качественной характеристики потребления тепловой энергии зданиями, строениями и сооружениями;</w:t>
            </w:r>
          </w:p>
          <w:p w:rsidR="00CA7B20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Оценка метрологического обеспечения (оснащенности) учета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тепловой энергии</w:t>
            </w:r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числе: технического состояния и условий работы приборов учета зданий, строений и сооружений.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A7B20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A7B20" w:rsidRP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</w:t>
            </w:r>
            <w:r w:rsidR="00CA7B20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баланс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A7B20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тепловой энергии;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D00EF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распределения тепловых нагрузок в системах отопления, горячего водоснабжения и вентиляции и их оптимизация;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</w:t>
            </w:r>
            <w:r w:rsidR="00EF12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режима</w:t>
            </w:r>
            <w:r w:rsid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работы системы теплоснабжения;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Проведение необходимых замеров для определения текущих фактических показателей теплопотребления;</w:t>
            </w:r>
          </w:p>
          <w:p w:rsidR="00DD00EF" w:rsidRDefault="004B6F4B" w:rsidP="00DD00EF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Оценка эффективности использования тепловой энергии;</w:t>
            </w:r>
          </w:p>
          <w:p w:rsidR="00CA7B20" w:rsidRDefault="00CA7B20" w:rsidP="00DD00EF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Оценка состояния и эффективности использования инженерных коммуникаций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системы теплоснабжения);</w:t>
            </w:r>
          </w:p>
          <w:p w:rsidR="00CA7B20" w:rsidRDefault="00DD00EF" w:rsidP="00DD00EF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фактических и нормативных удельных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тепловой </w:t>
            </w:r>
            <w:r w:rsidRP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энергии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кв. м площади, на одного человека);</w:t>
            </w:r>
            <w:r w:rsidR="004B6F4B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</w:t>
            </w:r>
            <w:r w:rsid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</w:t>
            </w:r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(и </w:t>
            </w:r>
            <w:proofErr w:type="spellStart"/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проведенние</w:t>
            </w:r>
            <w:proofErr w:type="spellEnd"/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контрольных расчетов) балансов тепловыделений и тепловых потерь ограждающих конструкций зданий, строений и сооружений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CA7B20" w:rsidRP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Фактическое состояние ограждающих конструкций зданий и сооружений, соответствие их проекту;</w:t>
            </w:r>
          </w:p>
          <w:p w:rsidR="00CA7B20" w:rsidRP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Оценка качества изоляции ограждающих конструкций, остекления, уплотнения дверных и оконных проемов; </w:t>
            </w:r>
          </w:p>
          <w:p w:rsidR="00DD00EF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Тепловизионная</w:t>
            </w:r>
            <w:proofErr w:type="spellEnd"/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съемка ограждающих конструкций; </w:t>
            </w:r>
            <w:r w:rsidR="00DD00EF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B6F4B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Выводы и рекомендации по рациональному использованию тепловой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энергии и снижению затрат на ее использование;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Разработка мероприятий по рациональному использованию тепловой энергии с оценкой их эффективности и объема затрат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их внедрение, приоритетность выполнения.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45B17" w:rsidRDefault="00C45B17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B6F4B" w:rsidRDefault="004B6F4B" w:rsidP="004B6F4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10.1.3. </w:t>
            </w:r>
            <w:r w:rsidR="00AE4C93" w:rsidRPr="00AE4C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Вода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договорных условий на водоснабжение и водоотведение</w:t>
            </w:r>
            <w:r w:rsidR="00D243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тарифов, лимитов, затрат;</w:t>
            </w:r>
          </w:p>
          <w:p w:rsidR="00D24388" w:rsidRDefault="00D24388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фактического потребления воды;</w:t>
            </w:r>
          </w:p>
          <w:p w:rsidR="007B3C35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Перечень и характеристика оборудования системы водоснабжения и водоотведения, года их ввода в эксплуатацию;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Оценка состояния и режимов работы системы водоснабжения и водоотведения;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Анализ состояния запорной арматуры и систем регулирования;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Анализ системы учета и контроля по</w:t>
            </w:r>
            <w:r w:rsidR="007B3C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требления воды и водоотведения;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Проведение необходимых замеров для определения текущих фактических показателей водоснабжения;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фактических и нормативных удельных расходов воды (на 1 кв. м площади, на одного человека);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Выводы и рекомендации по рациональному использованию водоснабжения и водоотведения;</w:t>
            </w:r>
          </w:p>
          <w:p w:rsidR="004B6F4B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Разработка мероприятий по рациональному использованию воды с оценкой их эффективности и объема затрат на их внедрение, приоритетности выполнения.</w:t>
            </w:r>
          </w:p>
          <w:p w:rsidR="004B6F4B" w:rsidRDefault="004B6F4B" w:rsidP="004B6F4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BD3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ГСМ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10.1.4.1.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потребления топлива автотранспортом и спецтехникой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потребления топлива автотранспортом и спецтехникой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структ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уры автотранспортного хозяйства;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(на основе исходных данных) состава и состоя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автотранспортных средств;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эффективности использования автотранспортных средств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балансов моторных топлив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(на основе проведенных на местах расчетов) и оценка обоснованности нормативов потребления моторного топлива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Разработка мероприятий по снижению расхода моторных топлив автотранспортом и спецтехникой и повышению энергоэффективности использования автотранспортных средств.</w:t>
            </w:r>
          </w:p>
          <w:p w:rsidR="00E01658" w:rsidRDefault="00E01658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мероприятий по снижению технологического расхода энергетических ресурсов</w:t>
            </w: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характеристики энергосберегающих мероприятий.</w:t>
            </w: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Обобщение и формирование на основе разработанных и выявленных в ходе энергетических обследований мероприятий сводного перечня мероприятий по энергосбережению</w:t>
            </w: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эффективности мероприятий, инвестиций и срока окупаемости и приоритетности (очередности) реализаци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энергосберегающих мероприятий;</w:t>
            </w:r>
          </w:p>
          <w:p w:rsid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Формирование сведений и материалов для разработк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программы энергосбережения ЭС.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30400" w:rsidRDefault="00A30400" w:rsidP="00A3040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F664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Диагностика действующей Системы управления в области энергосбережения и повышения энергетической эффективности  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«ДРСК» на предмет соответствия требованиям стандарта ГОСТ </w:t>
            </w:r>
            <w:proofErr w:type="gramStart"/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ИСО 50001-2012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30400" w:rsidRDefault="00A30400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F664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.Составление энергетического паспорта АО "ДРСК" 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результатам анализа документальной информации исполнитель составляет программу инструментального обследования, которое проводит с целью: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подтверждения достоверности информации полученной при документальной части обследования и внесения ее в энергетический паспорт, определения фактических показателей энергоэффективности;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выявления причин снижения энергоэффективности;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определения потерь энергоносителей и причин их возникновения;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выявления причин непроизводительного расхода ТЭР.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F664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Выборочное инструментальное обследование в объеме согласованном с заказчиком (по критериям отбора объектов измерений), но </w:t>
            </w:r>
            <w:r w:rsidRPr="00A554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не менее 5% полного объема основных объектов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(ПС и электрических сетей) и объектов производственно-хозяйственных нужд  Заказчика: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Визуальное и приборное обследование элементов электрических сетей и основного силового оборудования, а также устройств компенсации реактивной мощности;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Снятие фактических значений параметров электрической нагрузки по присоединениям на ПС по стационарным контрольно-измерительным приборам, а также переносными приборами с вторичных обмоток измерительных трансформаторов для определения технических потерь в обследуемых сетях;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Контрольные замеры нагрузки вторичных обмоток измерительных трансформаторов ПС, определение значений фактических потерь 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напряжения в линиях связи между ТН и приборами учета, фактической вторичной нагрузки трансформатора тока, определения нагрузки и коэффициента мощности вторичных цепей трансформатора напряжения в рабочих условиях применения в местах коммерческого и технического учета;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Снятие фактических значений электрической нагрузки потребителей собственных нужд ПС по стационарным контрольно-измерительным приборам, а также переносными приборами для определения фактической загрузки и эффективности работы электроприемников;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Проведение измерений реальных нагрузок электрооборудования производственно-хозяйственных ну</w:t>
            </w:r>
            <w:proofErr w:type="gramStart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жд в стр</w:t>
            </w:r>
            <w:proofErr w:type="gramEnd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уктурных подразделениях (систем освещения, вентиляции, кондиционирования, отопления помещений и т.д.);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Проведение </w:t>
            </w:r>
            <w:proofErr w:type="spellStart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тепловизионного</w:t>
            </w:r>
            <w:proofErr w:type="spellEnd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обследования основного оборудования подстанций, ограждающих конструкций зданий и сооружений, других производственных объектов, для определения фактических </w:t>
            </w:r>
            <w:proofErr w:type="spellStart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теплопотерь</w:t>
            </w:r>
            <w:proofErr w:type="spellEnd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зданий и сооружений.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27CB3" w:rsidRPr="00327CB3" w:rsidRDefault="004B6F4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10.2.</w:t>
            </w:r>
            <w:r w:rsid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27CB3" w:rsidRPr="00BD3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Результатами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оказания Услуг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будут</w:t>
            </w:r>
            <w:r w:rsidR="00327CB3"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являться: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7B20" w:rsidRDefault="00CA7B20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инструментального обследования;</w:t>
            </w:r>
          </w:p>
          <w:p w:rsidR="00327CB3" w:rsidRPr="00327CB3" w:rsidRDefault="00CA7B20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ромежуточные отчеты, содержащи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 </w:t>
            </w:r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обоснования</w:t>
            </w:r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всех </w:t>
            </w:r>
            <w:proofErr w:type="gramStart"/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результатов</w:t>
            </w:r>
            <w:proofErr w:type="gramEnd"/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243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оказанных Услуг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согласованные Сторонами</w:t>
            </w:r>
            <w:r w:rsidR="00CD5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Технико-экономическ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ая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81B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предложенных мероприятий, направленных на энергосбережение и повышение энергетической эффективности;</w:t>
            </w:r>
          </w:p>
          <w:p w:rsidR="00327CB3" w:rsidRPr="00FD2CA7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Рекомендации и предложения по использованию результатов 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оказанных Услуг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327CB3" w:rsidRPr="00FD2CA7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Заключительный</w:t>
            </w:r>
            <w:r w:rsidR="00CD5D82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(сводный)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отч</w:t>
            </w:r>
            <w:r w:rsidR="00A81B3E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ет о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</w:t>
            </w:r>
            <w:r w:rsidR="00A81B3E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оказанных Услугах</w:t>
            </w:r>
            <w:r w:rsidR="00CD5D82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составленный по результатам проведенных в филиалах АО «ДРСК» энергетических обследований объектов производственно-хозяйственных нужд и объектов электросетевого хозяйства с детализацией до производственных отделений филиалов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включающий, в том числе результаты д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иагностик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действующей 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истемы управления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 области энергосбережения и повышения энергетической эффективности АО «ДРСК» на предмет соответствия требованиям стандарта ГОСТ </w:t>
            </w:r>
            <w:proofErr w:type="gramStart"/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</w:t>
            </w:r>
            <w:proofErr w:type="gramEnd"/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ИСО 50001-2012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F664DA" w:rsidRDefault="00F664DA" w:rsidP="00F664DA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Сводная презентация с итогами проведенного энергетического обследования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CD5D82" w:rsidRPr="00FD2CA7" w:rsidRDefault="00CD5D82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Копия письма в адрес Министерства энергетики РФ о направлении энергетического паспорта, с отметками о принятии экспедицией Минэнерго РФ.</w:t>
            </w:r>
          </w:p>
          <w:p w:rsidR="00327CB3" w:rsidRPr="00FD2CA7" w:rsidRDefault="00A81B3E" w:rsidP="00C45B17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Энергетический паспорт предприятия </w:t>
            </w:r>
            <w:r w:rsidR="00C45B1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основании приказа Министерства энергетики Российской Федерации от 30.06.2014г. №</w:t>
            </w:r>
            <w:r w:rsidR="00CD5D82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45B1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</w:t>
            </w:r>
            <w:r w:rsidR="003312D2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EC6269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зарегистрированный в СРО и Минэ</w:t>
            </w:r>
            <w:r w:rsidR="0087397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нерго</w:t>
            </w:r>
            <w:r w:rsidR="00EC6269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РФ</w:t>
            </w:r>
            <w:r w:rsidR="0087397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83FCB" w:rsidRPr="00AE4C93" w:rsidRDefault="00F83FCB" w:rsidP="00C45B17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Документы, подтверждающие внесение энергетического паспорта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 Государственную информационную систему.</w:t>
            </w:r>
          </w:p>
          <w:p w:rsidR="00DE3961" w:rsidRPr="00FD2CA7" w:rsidRDefault="00DE3961" w:rsidP="0087397D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Акт приема-передачи </w:t>
            </w:r>
            <w:r w:rsidR="00D243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Услуг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Договору.</w:t>
            </w:r>
          </w:p>
          <w:p w:rsidR="00C45B17" w:rsidRPr="00FD2CA7" w:rsidRDefault="00C45B17" w:rsidP="00DE3961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4B6F4B" w:rsidRPr="00FD2CA7" w:rsidRDefault="004B6F4B" w:rsidP="00DE3961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Энергетический паспорт объекта является итоговым документом обследования. </w:t>
            </w:r>
            <w:proofErr w:type="gramStart"/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Содержание энергетического паспорта, объем сведений и форма представления данных должны соответствовать требованиям Федерального закона 261-ФЗ от 23.11.2009</w:t>
            </w:r>
            <w:r w:rsidR="00C45B17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г. "Об энергосбережении и повышении энергетической эффективности и о внесении изменений в отдельные законодател</w:t>
            </w:r>
            <w:r w:rsidR="00DE3961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ьные акты Российской Федерации", а так же приказа Минэнерго РФ от 30.06.2014г. №</w:t>
            </w:r>
            <w:r w:rsidR="00F83FCB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DE3961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400 «Об утверждении требований к проведению энергетического обследования и его результатам и правил направления копий энергетического паспорта</w:t>
            </w:r>
            <w:proofErr w:type="gramEnd"/>
            <w:r w:rsidR="00DE3961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составленного по результатам обязательного энергетического обследования».</w:t>
            </w:r>
          </w:p>
          <w:p w:rsidR="00F83FCB" w:rsidRPr="00FD2CA7" w:rsidRDefault="00F83FCB" w:rsidP="00F83FCB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Передачу в СРО копий разработанных энергетических паспортов и другой информации о выполненных энергетических обследованиях обеспечивает Исполнитель.</w:t>
            </w:r>
          </w:p>
          <w:p w:rsidR="0088174B" w:rsidRPr="00327CB3" w:rsidRDefault="0088174B" w:rsidP="00F83FCB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случае изменений формата энергетического паспорта и приложений к энергетическому паспорту, требований к ним со стороны Министерства энергетики РФ, Исполнителю необходимо привести форму энергетического паспорта и приложения к энергетическому паспорту в соответствие с изменениями.</w:t>
            </w:r>
          </w:p>
        </w:tc>
      </w:tr>
    </w:tbl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394"/>
        <w:gridCol w:w="709"/>
        <w:gridCol w:w="4358"/>
      </w:tblGrid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Исполнителя</w:t>
            </w:r>
            <w:r w:rsidRPr="00FD2CA7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 ______________</w:t>
            </w: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FF0000"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 ______________</w:t>
            </w:r>
          </w:p>
        </w:tc>
      </w:tr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М.П.</w:t>
            </w:r>
          </w:p>
        </w:tc>
      </w:tr>
    </w:tbl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4388" w:rsidRDefault="00D24388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B01" w:rsidRDefault="00D61B0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B01" w:rsidRDefault="00D61B0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0E1EB7" w:rsidRPr="00AF03A6" w:rsidRDefault="00AF03A6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03A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1</w:t>
      </w:r>
    </w:p>
    <w:p w:rsidR="00AF03A6" w:rsidRPr="00AF03A6" w:rsidRDefault="00AF03A6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E108E" w:rsidRDefault="002E108E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сведения</w:t>
      </w:r>
    </w:p>
    <w:p w:rsidR="002E108E" w:rsidRDefault="002E108E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03A6" w:rsidRPr="00AF03A6" w:rsidRDefault="002E108E" w:rsidP="002E108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="007A48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подразделений </w:t>
      </w:r>
      <w:r w:rsidR="00AF03A6" w:rsidRPr="00AF03A6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«ДРСК», подлежащих энергетическому обследованию</w:t>
      </w:r>
    </w:p>
    <w:p w:rsidR="00AF03A6" w:rsidRPr="00AF03A6" w:rsidRDefault="00AF03A6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2"/>
        <w:gridCol w:w="5825"/>
      </w:tblGrid>
      <w:tr w:rsidR="00AF03A6" w:rsidRPr="00AF03A6" w:rsidTr="00AF03A6">
        <w:trPr>
          <w:trHeight w:val="900"/>
          <w:jc w:val="center"/>
        </w:trPr>
        <w:tc>
          <w:tcPr>
            <w:tcW w:w="21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  <w:t>Наименование подразделения</w:t>
            </w:r>
          </w:p>
        </w:tc>
        <w:tc>
          <w:tcPr>
            <w:tcW w:w="28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  <w:t>Местонахождение подразделения</w:t>
            </w:r>
          </w:p>
        </w:tc>
      </w:tr>
      <w:tr w:rsidR="00AF03A6" w:rsidRPr="00AF03A6" w:rsidTr="00AF03A6">
        <w:trPr>
          <w:trHeight w:val="188"/>
          <w:jc w:val="center"/>
        </w:trPr>
        <w:tc>
          <w:tcPr>
            <w:tcW w:w="2141" w:type="pct"/>
            <w:tcBorders>
              <w:top w:val="single" w:sz="4" w:space="0" w:color="auto"/>
            </w:tcBorders>
          </w:tcPr>
          <w:p w:rsidR="00AF03A6" w:rsidRP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ИА 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АО ДРСК</w:t>
            </w:r>
          </w:p>
        </w:tc>
        <w:tc>
          <w:tcPr>
            <w:tcW w:w="28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675000, Амурская область,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г. Благовещенск, ул. Шевченко, д.28.</w:t>
            </w:r>
          </w:p>
        </w:tc>
      </w:tr>
      <w:tr w:rsidR="00AF03A6" w:rsidRPr="00AF03A6" w:rsidTr="00AF03A6">
        <w:trPr>
          <w:trHeight w:val="187"/>
          <w:jc w:val="center"/>
        </w:trPr>
        <w:tc>
          <w:tcPr>
            <w:tcW w:w="2141" w:type="pct"/>
            <w:tcBorders>
              <w:top w:val="single" w:sz="4" w:space="0" w:color="auto"/>
            </w:tcBorders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«Амурские ЭС»</w:t>
            </w:r>
          </w:p>
        </w:tc>
        <w:tc>
          <w:tcPr>
            <w:tcW w:w="2859" w:type="pct"/>
            <w:shd w:val="clear" w:color="auto" w:fill="auto"/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675003, Амурская область,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г.Благовещенск, ул.Театральная, 179</w:t>
            </w:r>
          </w:p>
        </w:tc>
      </w:tr>
      <w:tr w:rsidR="00AF03A6" w:rsidRPr="00AF03A6" w:rsidTr="00AF03A6">
        <w:trPr>
          <w:trHeight w:val="374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«Приморские ЭС»</w:t>
            </w:r>
          </w:p>
        </w:tc>
        <w:tc>
          <w:tcPr>
            <w:tcW w:w="2859" w:type="pct"/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690080,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Приморский край,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Владивосток, ул.Командорская, 13-а</w:t>
            </w:r>
          </w:p>
        </w:tc>
      </w:tr>
      <w:tr w:rsidR="00AF03A6" w:rsidRPr="00AF03A6" w:rsidTr="00AF03A6">
        <w:trPr>
          <w:trHeight w:val="358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«Хабаровские ЭС»</w:t>
            </w:r>
          </w:p>
        </w:tc>
        <w:tc>
          <w:tcPr>
            <w:tcW w:w="2859" w:type="pct"/>
            <w:tcBorders>
              <w:bottom w:val="single" w:sz="4" w:space="0" w:color="auto"/>
            </w:tcBorders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680009, 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Хабаровский край,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Хабаровск,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ул.Промышленная, 13</w:t>
            </w:r>
          </w:p>
        </w:tc>
      </w:tr>
      <w:tr w:rsidR="00AF03A6" w:rsidRPr="00AF03A6" w:rsidTr="00AF03A6">
        <w:trPr>
          <w:trHeight w:val="484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«Электрические сети ЕАО»</w:t>
            </w:r>
          </w:p>
        </w:tc>
        <w:tc>
          <w:tcPr>
            <w:tcW w:w="2859" w:type="pct"/>
            <w:tcBorders>
              <w:top w:val="single" w:sz="4" w:space="0" w:color="auto"/>
            </w:tcBorders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679016, ЕАО,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г.Биробиджан, ул.Черноморская, 6</w:t>
            </w:r>
          </w:p>
        </w:tc>
      </w:tr>
      <w:tr w:rsidR="00AF03A6" w:rsidRPr="00AF03A6" w:rsidTr="00AF03A6">
        <w:trPr>
          <w:trHeight w:val="326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«Южно –Якутские ЭС»</w:t>
            </w:r>
          </w:p>
        </w:tc>
        <w:tc>
          <w:tcPr>
            <w:tcW w:w="2859" w:type="pct"/>
            <w:tcBorders>
              <w:bottom w:val="single" w:sz="4" w:space="0" w:color="auto"/>
            </w:tcBorders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678900 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Р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еспублика Саха (Якутия),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г.Алдан, ул.Линейная, 4</w:t>
            </w:r>
          </w:p>
        </w:tc>
      </w:tr>
    </w:tbl>
    <w:p w:rsidR="00AF03A6" w:rsidRPr="00AF03A6" w:rsidRDefault="00AF03A6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03A6" w:rsidRDefault="002E108E" w:rsidP="002E108E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noProof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2. </w:t>
      </w:r>
      <w:r w:rsidR="00AF03A6" w:rsidRPr="00AF03A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Перечень </w:t>
      </w:r>
      <w:r w:rsidR="00AF03A6" w:rsidRPr="00AF03A6">
        <w:rPr>
          <w:rFonts w:ascii="Times New Roman" w:eastAsia="Times New Roman" w:hAnsi="Times New Roman" w:cs="Times New Roman"/>
          <w:bCs/>
          <w:noProof/>
          <w:kern w:val="28"/>
          <w:sz w:val="24"/>
          <w:szCs w:val="24"/>
          <w:lang w:eastAsia="ru-RU"/>
        </w:rPr>
        <w:t>объектов АО «ДРСК», подлежащих энергетическому обследованию</w:t>
      </w:r>
      <w:r w:rsidR="00AF03A6" w:rsidRPr="00AF03A6">
        <w:rPr>
          <w:rFonts w:ascii="Times New Roman" w:eastAsia="Times New Roman" w:hAnsi="Times New Roman" w:cs="Times New Roman"/>
          <w:b/>
          <w:bCs/>
          <w:noProof/>
          <w:kern w:val="28"/>
          <w:sz w:val="24"/>
          <w:szCs w:val="24"/>
          <w:lang w:eastAsia="ru-RU"/>
        </w:rPr>
        <w:t>:</w:t>
      </w:r>
    </w:p>
    <w:p w:rsidR="00AF03A6" w:rsidRPr="00AF03A6" w:rsidRDefault="00AF03A6" w:rsidP="00AF03A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13"/>
        <w:gridCol w:w="1921"/>
        <w:gridCol w:w="705"/>
        <w:gridCol w:w="725"/>
        <w:gridCol w:w="920"/>
        <w:gridCol w:w="1258"/>
        <w:gridCol w:w="1083"/>
        <w:gridCol w:w="1933"/>
        <w:gridCol w:w="1029"/>
      </w:tblGrid>
      <w:tr w:rsidR="003C09CE" w:rsidRPr="00AF03A6" w:rsidTr="003C09CE">
        <w:trPr>
          <w:trHeight w:val="1185"/>
        </w:trPr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Филиал АО ДРСК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3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ПС 220 кВ, шт</w:t>
            </w:r>
          </w:p>
        </w:tc>
        <w:tc>
          <w:tcPr>
            <w:tcW w:w="45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ПС 110 кВ, шт</w:t>
            </w:r>
          </w:p>
        </w:tc>
        <w:tc>
          <w:tcPr>
            <w:tcW w:w="61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ПС 35 кВ, шт</w:t>
            </w:r>
          </w:p>
        </w:tc>
        <w:tc>
          <w:tcPr>
            <w:tcW w:w="53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ТП 6-35/0,4, шт</w:t>
            </w:r>
          </w:p>
        </w:tc>
        <w:tc>
          <w:tcPr>
            <w:tcW w:w="94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Протяженность ВЛ и КЛ</w:t>
            </w:r>
          </w:p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0,4-110 кВ,</w:t>
            </w:r>
          </w:p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км </w:t>
            </w:r>
          </w:p>
        </w:tc>
        <w:tc>
          <w:tcPr>
            <w:tcW w:w="50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зданий</w:t>
            </w: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C09CE" w:rsidRPr="00AF03A6" w:rsidTr="003C09CE">
        <w:trPr>
          <w:trHeight w:val="525"/>
        </w:trPr>
        <w:tc>
          <w:tcPr>
            <w:tcW w:w="3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9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3C09CE" w:rsidRPr="00AF03A6" w:rsidTr="003C09CE">
        <w:trPr>
          <w:trHeight w:val="315"/>
        </w:trPr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Амурские ЭС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4307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22994,3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192</w:t>
            </w:r>
          </w:p>
        </w:tc>
      </w:tr>
      <w:tr w:rsidR="003C09CE" w:rsidRPr="00AF03A6" w:rsidTr="003C09CE">
        <w:trPr>
          <w:trHeight w:val="525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Приморские ЭС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3523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20509,2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150</w:t>
            </w:r>
          </w:p>
        </w:tc>
      </w:tr>
      <w:tr w:rsidR="003C09CE" w:rsidRPr="00AF03A6" w:rsidTr="003C09CE">
        <w:trPr>
          <w:trHeight w:val="525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Хабаровские ЭС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8183,5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57</w:t>
            </w:r>
          </w:p>
        </w:tc>
      </w:tr>
      <w:tr w:rsidR="003C09CE" w:rsidRPr="00AF03A6" w:rsidTr="003C09CE">
        <w:trPr>
          <w:trHeight w:val="6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Электрические сети ЕАО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3986,1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36</w:t>
            </w:r>
          </w:p>
        </w:tc>
      </w:tr>
      <w:tr w:rsidR="003C09CE" w:rsidRPr="00AF03A6" w:rsidTr="003C09CE">
        <w:trPr>
          <w:trHeight w:val="435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Южно –Якутские ЭС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1803,4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</w:t>
            </w:r>
          </w:p>
        </w:tc>
      </w:tr>
      <w:tr w:rsidR="003C09CE" w:rsidRPr="00AF03A6" w:rsidTr="003C09CE">
        <w:trPr>
          <w:trHeight w:val="420"/>
        </w:trPr>
        <w:tc>
          <w:tcPr>
            <w:tcW w:w="30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ИА </w:t>
            </w: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АО «ДРСК»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5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3C09CE" w:rsidRPr="00AF03A6" w:rsidTr="003C09CE">
        <w:trPr>
          <w:trHeight w:val="420"/>
        </w:trPr>
        <w:tc>
          <w:tcPr>
            <w:tcW w:w="30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Всего </w:t>
            </w: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АО «ДРСК»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10397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57476,5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>464</w:t>
            </w:r>
          </w:p>
        </w:tc>
      </w:tr>
    </w:tbl>
    <w:p w:rsidR="000E1EB7" w:rsidRDefault="00AF03A6" w:rsidP="00AE19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F03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*Примечание: данные в таблице указаны по состоянию на 01.01.201</w:t>
      </w:r>
      <w:r w:rsidR="004C2D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AF03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г., вледствие чего на момент проведения конкурсных процедур могут </w:t>
      </w:r>
      <w:r w:rsidRPr="00AF03A6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незначительно</w:t>
      </w:r>
      <w:r w:rsidRPr="00AF03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отличаться и корректироваться при заключении договора. </w:t>
      </w:r>
    </w:p>
    <w:p w:rsidR="002E108E" w:rsidRPr="002E108E" w:rsidRDefault="002E108E" w:rsidP="002E1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3. П</w:t>
      </w:r>
      <w:r w:rsidR="007355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состоянию на 01.01.2015 г. </w:t>
      </w:r>
      <w:r w:rsidR="007A48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«ДРСК» имеется 1734 ед. техники, в 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ИА – 11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Амурские электрические сети – 621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Приморские электрические сети – 606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Хабаровские электрические сети – 263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Электрические сети ЕАО – 124 ед.</w:t>
      </w:r>
    </w:p>
    <w:p w:rsid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Южно-Якутские электрические сети – 109 ед.</w:t>
      </w:r>
    </w:p>
    <w:p w:rsid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2"/>
        <w:gridCol w:w="2135"/>
      </w:tblGrid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 xml:space="preserve">Всего автомобильной и специальной техники в </w:t>
            </w:r>
            <w:proofErr w:type="spellStart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т.ч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noWrap/>
            <w:vAlign w:val="bottom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1734</w:t>
            </w:r>
          </w:p>
        </w:tc>
      </w:tr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 xml:space="preserve">Самоходные машины и спец. механизмы, в </w:t>
            </w:r>
            <w:proofErr w:type="spellStart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т.ч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noWrap/>
            <w:vAlign w:val="bottom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1603</w:t>
            </w:r>
          </w:p>
        </w:tc>
      </w:tr>
      <w:tr w:rsidR="002E108E" w:rsidRPr="002E108E" w:rsidTr="002E108E">
        <w:trPr>
          <w:trHeight w:val="23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Автокраны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E108E" w:rsidRPr="002E108E" w:rsidTr="002E108E">
        <w:trPr>
          <w:trHeight w:val="18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грузовые бортовые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2E108E" w:rsidRPr="002E108E" w:rsidTr="002E108E">
        <w:trPr>
          <w:trHeight w:val="7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грузовые бортовые с КМУ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2E108E" w:rsidRPr="002E108E" w:rsidTr="002E108E">
        <w:trPr>
          <w:trHeight w:val="12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грузовые бригадные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легковые бригадные, линейные, сетевые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</w:tr>
      <w:tr w:rsidR="002E108E" w:rsidRPr="002E108E" w:rsidTr="002E108E">
        <w:trPr>
          <w:trHeight w:val="7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легковые служебные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</w:tr>
      <w:tr w:rsidR="002E108E" w:rsidRPr="002E108E" w:rsidTr="002E108E">
        <w:trPr>
          <w:trHeight w:val="11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цистерны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2E108E" w:rsidRPr="002E108E" w:rsidTr="002E108E">
        <w:trPr>
          <w:trHeight w:val="16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Автоподъемники, вышки телескопические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Бульдозеры на гусеничном ходу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2E108E" w:rsidRPr="002E108E" w:rsidTr="002E108E">
        <w:trPr>
          <w:trHeight w:val="10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Бурильные и бурильно-крановые машины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E108E" w:rsidRPr="002E108E" w:rsidTr="002E108E">
        <w:trPr>
          <w:trHeight w:val="14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машины и механизмы на базе колесных тракторов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машины и механизмы на шасси автомобиля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E108E" w:rsidRPr="002E108E" w:rsidTr="002E108E">
        <w:trPr>
          <w:trHeight w:val="23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Мульчеры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кусторезы, корчеватели на гусеничном ходу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E108E" w:rsidRPr="002E108E" w:rsidTr="002E108E">
        <w:trPr>
          <w:trHeight w:val="141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Погрузчики вилочные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E108E" w:rsidRPr="002E108E" w:rsidTr="002E108E">
        <w:trPr>
          <w:trHeight w:val="17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Погрузчики ковшовые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E108E" w:rsidRPr="002E108E" w:rsidTr="002E108E">
        <w:trPr>
          <w:trHeight w:val="7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ПСКБМ, СКБМ,  МКМ и др. (3 в 1)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2E108E" w:rsidRPr="002E108E" w:rsidTr="002E108E">
        <w:trPr>
          <w:trHeight w:val="12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Самосвалы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2E108E" w:rsidRPr="002E108E" w:rsidTr="002E108E">
        <w:trPr>
          <w:trHeight w:val="1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Снегоходы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E108E" w:rsidRPr="002E108E" w:rsidTr="002E108E">
        <w:trPr>
          <w:trHeight w:val="7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 моторные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 гусеничные транспортные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 колесные транспортные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E108E" w:rsidRPr="002E108E" w:rsidTr="002E108E">
        <w:trPr>
          <w:trHeight w:val="19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 трелевочные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E108E" w:rsidRPr="002E108E" w:rsidTr="002E108E">
        <w:trPr>
          <w:trHeight w:val="101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Тягачи на гусеничном ходу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2E108E" w:rsidRPr="002E108E" w:rsidTr="002E108E">
        <w:trPr>
          <w:trHeight w:val="14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Тягачи седельные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2E108E" w:rsidRPr="002E108E" w:rsidTr="002E108E">
        <w:trPr>
          <w:trHeight w:val="19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Экскаваторы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E108E" w:rsidRPr="002E108E" w:rsidTr="002E108E">
        <w:trPr>
          <w:trHeight w:val="8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Экскаваторы-бульдозеры (2 в 1), экскаваторы-бульдозеры-погрузчики (3 в 1)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2E108E" w:rsidRPr="002E108E" w:rsidTr="002E108E">
        <w:trPr>
          <w:trHeight w:val="28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Электролаборатории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базе автомобиля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2E108E" w:rsidRPr="002E108E" w:rsidTr="002E108E">
        <w:trPr>
          <w:trHeight w:val="273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Электромеханические мастерские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E108E" w:rsidRPr="002E108E" w:rsidTr="002E108E">
        <w:trPr>
          <w:trHeight w:val="19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Специальные прицепы и механизмы на прицепах, в </w:t>
            </w:r>
            <w:proofErr w:type="spellStart"/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2E108E" w:rsidRPr="002E108E" w:rsidTr="002E108E">
        <w:trPr>
          <w:trHeight w:val="239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Полуприцепы автомобильные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2E108E" w:rsidRPr="002E108E" w:rsidTr="002E108E">
        <w:trPr>
          <w:trHeight w:val="27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Полуприцепы-роспуски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E108E" w:rsidRPr="002E108E" w:rsidTr="002E108E">
        <w:trPr>
          <w:trHeight w:val="27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Полуприцепы-тяжеловозы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 автомобильные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 тракторные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2E108E" w:rsidRPr="002E108E" w:rsidTr="002E108E">
        <w:trPr>
          <w:trHeight w:val="189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Прицепы-роспуски для перевозки опор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2E108E" w:rsidRPr="002E108E" w:rsidTr="002E108E">
        <w:trPr>
          <w:trHeight w:val="23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Прицепы-тяжеловозы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E108E" w:rsidRPr="002E108E" w:rsidTr="002E108E">
        <w:trPr>
          <w:trHeight w:val="28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Прицепы-цистерны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E108E" w:rsidRPr="002E108E" w:rsidTr="002E108E">
        <w:trPr>
          <w:trHeight w:val="14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прицепы автомобильные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E108E" w:rsidRPr="002E108E" w:rsidTr="002E108E">
        <w:trPr>
          <w:trHeight w:val="2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прицепы тракторные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2E108E" w:rsidRPr="002E108E" w:rsidSect="006F41A3">
      <w:headerReference w:type="default" r:id="rId9"/>
      <w:footerReference w:type="default" r:id="rId10"/>
      <w:pgSz w:w="12240" w:h="15840" w:code="1"/>
      <w:pgMar w:top="1240" w:right="851" w:bottom="851" w:left="1418" w:header="397" w:footer="8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5C6" w:rsidRDefault="007165C6">
      <w:pPr>
        <w:spacing w:after="0" w:line="240" w:lineRule="auto"/>
      </w:pPr>
      <w:r>
        <w:separator/>
      </w:r>
    </w:p>
  </w:endnote>
  <w:endnote w:type="continuationSeparator" w:id="0">
    <w:p w:rsidR="007165C6" w:rsidRDefault="0071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926897"/>
      <w:docPartObj>
        <w:docPartGallery w:val="Page Numbers (Bottom of Page)"/>
        <w:docPartUnique/>
      </w:docPartObj>
    </w:sdtPr>
    <w:sdtEndPr/>
    <w:sdtContent>
      <w:p w:rsidR="00A30400" w:rsidRDefault="00A304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B01">
          <w:rPr>
            <w:noProof/>
          </w:rPr>
          <w:t>2</w:t>
        </w:r>
        <w:r>
          <w:fldChar w:fldCharType="end"/>
        </w:r>
      </w:p>
    </w:sdtContent>
  </w:sdt>
  <w:p w:rsidR="00A30400" w:rsidRDefault="00A304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5C6" w:rsidRDefault="007165C6">
      <w:pPr>
        <w:spacing w:after="0" w:line="240" w:lineRule="auto"/>
      </w:pPr>
      <w:r>
        <w:separator/>
      </w:r>
    </w:p>
  </w:footnote>
  <w:footnote w:type="continuationSeparator" w:id="0">
    <w:p w:rsidR="007165C6" w:rsidRDefault="00716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00" w:rsidRPr="0025058B" w:rsidRDefault="00A30400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770BE"/>
    <w:multiLevelType w:val="hybridMultilevel"/>
    <w:tmpl w:val="11D0A1D0"/>
    <w:lvl w:ilvl="0" w:tplc="A9A216F2">
      <w:start w:val="1"/>
      <w:numFmt w:val="bullet"/>
      <w:lvlText w:val="–"/>
      <w:lvlJc w:val="left"/>
      <w:pPr>
        <w:ind w:left="120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">
    <w:nsid w:val="1CA9296D"/>
    <w:multiLevelType w:val="hybridMultilevel"/>
    <w:tmpl w:val="DDC6B3FC"/>
    <w:lvl w:ilvl="0" w:tplc="A9A216F2">
      <w:start w:val="1"/>
      <w:numFmt w:val="bullet"/>
      <w:lvlText w:val="–"/>
      <w:lvlJc w:val="left"/>
      <w:pPr>
        <w:ind w:left="27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BE7D61"/>
    <w:multiLevelType w:val="multilevel"/>
    <w:tmpl w:val="06344CE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A395C"/>
    <w:multiLevelType w:val="multilevel"/>
    <w:tmpl w:val="724C3E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1F55DAD"/>
    <w:multiLevelType w:val="hybridMultilevel"/>
    <w:tmpl w:val="F5CAD466"/>
    <w:lvl w:ilvl="0" w:tplc="84A2B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0741F7"/>
    <w:multiLevelType w:val="multilevel"/>
    <w:tmpl w:val="D49CEA3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8">
    <w:nsid w:val="68733F3D"/>
    <w:multiLevelType w:val="hybridMultilevel"/>
    <w:tmpl w:val="59F2EBF4"/>
    <w:lvl w:ilvl="0" w:tplc="04190001">
      <w:start w:val="1"/>
      <w:numFmt w:val="bullet"/>
      <w:lvlText w:val=""/>
      <w:lvlJc w:val="left"/>
      <w:pPr>
        <w:ind w:left="1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9">
    <w:nsid w:val="710B0FD2"/>
    <w:multiLevelType w:val="hybridMultilevel"/>
    <w:tmpl w:val="3724CDAE"/>
    <w:lvl w:ilvl="0" w:tplc="34BEC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4104A60"/>
    <w:multiLevelType w:val="multilevel"/>
    <w:tmpl w:val="09FC62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60"/>
    <w:rsid w:val="000105EC"/>
    <w:rsid w:val="00012BF1"/>
    <w:rsid w:val="00031909"/>
    <w:rsid w:val="00042E4B"/>
    <w:rsid w:val="00070E22"/>
    <w:rsid w:val="00095C87"/>
    <w:rsid w:val="000E1EB7"/>
    <w:rsid w:val="000F0647"/>
    <w:rsid w:val="000F67E8"/>
    <w:rsid w:val="001017A4"/>
    <w:rsid w:val="001054FE"/>
    <w:rsid w:val="00112951"/>
    <w:rsid w:val="00120B64"/>
    <w:rsid w:val="0012506E"/>
    <w:rsid w:val="00131B9D"/>
    <w:rsid w:val="0014222F"/>
    <w:rsid w:val="001720C7"/>
    <w:rsid w:val="001755BF"/>
    <w:rsid w:val="00182F18"/>
    <w:rsid w:val="001A2952"/>
    <w:rsid w:val="001D58A8"/>
    <w:rsid w:val="001E31BD"/>
    <w:rsid w:val="001F0452"/>
    <w:rsid w:val="0022189F"/>
    <w:rsid w:val="00232F9E"/>
    <w:rsid w:val="002376BB"/>
    <w:rsid w:val="00240802"/>
    <w:rsid w:val="00243CEE"/>
    <w:rsid w:val="00252E19"/>
    <w:rsid w:val="00255C18"/>
    <w:rsid w:val="0028566D"/>
    <w:rsid w:val="00291D74"/>
    <w:rsid w:val="002A5268"/>
    <w:rsid w:val="002C5335"/>
    <w:rsid w:val="002E09E3"/>
    <w:rsid w:val="002E108E"/>
    <w:rsid w:val="003002DE"/>
    <w:rsid w:val="00306E2C"/>
    <w:rsid w:val="003236C8"/>
    <w:rsid w:val="00327CB3"/>
    <w:rsid w:val="003312D2"/>
    <w:rsid w:val="0034459D"/>
    <w:rsid w:val="003513D9"/>
    <w:rsid w:val="00356964"/>
    <w:rsid w:val="003664A6"/>
    <w:rsid w:val="00372B30"/>
    <w:rsid w:val="00374100"/>
    <w:rsid w:val="00375A00"/>
    <w:rsid w:val="003A2880"/>
    <w:rsid w:val="003C09CE"/>
    <w:rsid w:val="003C3645"/>
    <w:rsid w:val="003E7C2A"/>
    <w:rsid w:val="003F1A7B"/>
    <w:rsid w:val="003F29D8"/>
    <w:rsid w:val="003F4EBC"/>
    <w:rsid w:val="00417330"/>
    <w:rsid w:val="00435DD3"/>
    <w:rsid w:val="00451FA7"/>
    <w:rsid w:val="004529DA"/>
    <w:rsid w:val="004561C2"/>
    <w:rsid w:val="00456978"/>
    <w:rsid w:val="00466F2A"/>
    <w:rsid w:val="00483873"/>
    <w:rsid w:val="004A0A33"/>
    <w:rsid w:val="004A7BAB"/>
    <w:rsid w:val="004B6F4B"/>
    <w:rsid w:val="004C2D54"/>
    <w:rsid w:val="004D2811"/>
    <w:rsid w:val="004D71D9"/>
    <w:rsid w:val="004E3409"/>
    <w:rsid w:val="004F2686"/>
    <w:rsid w:val="00505B60"/>
    <w:rsid w:val="00507763"/>
    <w:rsid w:val="00514BDA"/>
    <w:rsid w:val="00533C28"/>
    <w:rsid w:val="00553730"/>
    <w:rsid w:val="00570618"/>
    <w:rsid w:val="0058514E"/>
    <w:rsid w:val="00585C94"/>
    <w:rsid w:val="005A410E"/>
    <w:rsid w:val="005A599F"/>
    <w:rsid w:val="005C4508"/>
    <w:rsid w:val="005C4D66"/>
    <w:rsid w:val="005D13A6"/>
    <w:rsid w:val="00606892"/>
    <w:rsid w:val="00617A4A"/>
    <w:rsid w:val="00622260"/>
    <w:rsid w:val="006272AE"/>
    <w:rsid w:val="00665DCB"/>
    <w:rsid w:val="006712DF"/>
    <w:rsid w:val="006B0DB5"/>
    <w:rsid w:val="006C1C7F"/>
    <w:rsid w:val="006D1D60"/>
    <w:rsid w:val="006D4168"/>
    <w:rsid w:val="006E3CBE"/>
    <w:rsid w:val="006F41A3"/>
    <w:rsid w:val="007165C6"/>
    <w:rsid w:val="00720999"/>
    <w:rsid w:val="00722B60"/>
    <w:rsid w:val="00735522"/>
    <w:rsid w:val="00764C18"/>
    <w:rsid w:val="00765BBD"/>
    <w:rsid w:val="00786C03"/>
    <w:rsid w:val="007A48AB"/>
    <w:rsid w:val="007B3C35"/>
    <w:rsid w:val="007B723C"/>
    <w:rsid w:val="007D4FDB"/>
    <w:rsid w:val="007D6159"/>
    <w:rsid w:val="007E5C34"/>
    <w:rsid w:val="00815212"/>
    <w:rsid w:val="00827BD2"/>
    <w:rsid w:val="00836E3B"/>
    <w:rsid w:val="00854FE2"/>
    <w:rsid w:val="0087397D"/>
    <w:rsid w:val="0088174B"/>
    <w:rsid w:val="00893172"/>
    <w:rsid w:val="008A3177"/>
    <w:rsid w:val="008A65A7"/>
    <w:rsid w:val="008C1524"/>
    <w:rsid w:val="008E1482"/>
    <w:rsid w:val="008F1181"/>
    <w:rsid w:val="00925072"/>
    <w:rsid w:val="00927D36"/>
    <w:rsid w:val="00946FCB"/>
    <w:rsid w:val="00955A1C"/>
    <w:rsid w:val="009804CB"/>
    <w:rsid w:val="00994AC4"/>
    <w:rsid w:val="009A6468"/>
    <w:rsid w:val="009B139D"/>
    <w:rsid w:val="009F08A3"/>
    <w:rsid w:val="00A02894"/>
    <w:rsid w:val="00A30400"/>
    <w:rsid w:val="00A31586"/>
    <w:rsid w:val="00A31E12"/>
    <w:rsid w:val="00A4324C"/>
    <w:rsid w:val="00A52E14"/>
    <w:rsid w:val="00A5545B"/>
    <w:rsid w:val="00A5713F"/>
    <w:rsid w:val="00A711A3"/>
    <w:rsid w:val="00A81B3E"/>
    <w:rsid w:val="00A906C2"/>
    <w:rsid w:val="00AA68B9"/>
    <w:rsid w:val="00AB462E"/>
    <w:rsid w:val="00AC7145"/>
    <w:rsid w:val="00AD065C"/>
    <w:rsid w:val="00AE1902"/>
    <w:rsid w:val="00AE4C93"/>
    <w:rsid w:val="00AF03A6"/>
    <w:rsid w:val="00B03A94"/>
    <w:rsid w:val="00B16E76"/>
    <w:rsid w:val="00B3655D"/>
    <w:rsid w:val="00B475CD"/>
    <w:rsid w:val="00B77ED3"/>
    <w:rsid w:val="00BC2F20"/>
    <w:rsid w:val="00BC713F"/>
    <w:rsid w:val="00BD3E3B"/>
    <w:rsid w:val="00BE050D"/>
    <w:rsid w:val="00BE1FB8"/>
    <w:rsid w:val="00BE328C"/>
    <w:rsid w:val="00C16299"/>
    <w:rsid w:val="00C36EED"/>
    <w:rsid w:val="00C4041E"/>
    <w:rsid w:val="00C45B17"/>
    <w:rsid w:val="00C579DD"/>
    <w:rsid w:val="00C61E1E"/>
    <w:rsid w:val="00CA118D"/>
    <w:rsid w:val="00CA1EDD"/>
    <w:rsid w:val="00CA24FB"/>
    <w:rsid w:val="00CA7B20"/>
    <w:rsid w:val="00CB0F93"/>
    <w:rsid w:val="00CB3643"/>
    <w:rsid w:val="00CC2021"/>
    <w:rsid w:val="00CD5D82"/>
    <w:rsid w:val="00CD7E2C"/>
    <w:rsid w:val="00CF7BFD"/>
    <w:rsid w:val="00CF7C13"/>
    <w:rsid w:val="00D02DCF"/>
    <w:rsid w:val="00D0531C"/>
    <w:rsid w:val="00D12EB0"/>
    <w:rsid w:val="00D24388"/>
    <w:rsid w:val="00D56BC6"/>
    <w:rsid w:val="00D61B01"/>
    <w:rsid w:val="00D63FDE"/>
    <w:rsid w:val="00D70A79"/>
    <w:rsid w:val="00D92F72"/>
    <w:rsid w:val="00DA5555"/>
    <w:rsid w:val="00DA5CF6"/>
    <w:rsid w:val="00DD00EF"/>
    <w:rsid w:val="00DE3961"/>
    <w:rsid w:val="00DF12CA"/>
    <w:rsid w:val="00E01658"/>
    <w:rsid w:val="00E03518"/>
    <w:rsid w:val="00E11442"/>
    <w:rsid w:val="00E11673"/>
    <w:rsid w:val="00E14E05"/>
    <w:rsid w:val="00E21A7F"/>
    <w:rsid w:val="00E854AF"/>
    <w:rsid w:val="00E9060A"/>
    <w:rsid w:val="00EA1953"/>
    <w:rsid w:val="00EA4883"/>
    <w:rsid w:val="00EC6269"/>
    <w:rsid w:val="00ED306C"/>
    <w:rsid w:val="00ED5002"/>
    <w:rsid w:val="00EE1368"/>
    <w:rsid w:val="00EE4FAC"/>
    <w:rsid w:val="00EF126F"/>
    <w:rsid w:val="00EF1888"/>
    <w:rsid w:val="00EF5BE3"/>
    <w:rsid w:val="00F05E13"/>
    <w:rsid w:val="00F15409"/>
    <w:rsid w:val="00F244AB"/>
    <w:rsid w:val="00F3008C"/>
    <w:rsid w:val="00F32CAE"/>
    <w:rsid w:val="00F3609F"/>
    <w:rsid w:val="00F47EA4"/>
    <w:rsid w:val="00F540F4"/>
    <w:rsid w:val="00F664DA"/>
    <w:rsid w:val="00F77204"/>
    <w:rsid w:val="00F77262"/>
    <w:rsid w:val="00F83FCB"/>
    <w:rsid w:val="00FD2CA7"/>
    <w:rsid w:val="00FD7669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95BCF-1F80-4B99-BA5E-E708DF31B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4475</Words>
  <Characters>25510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Варыгина Александра Олеговна</cp:lastModifiedBy>
  <cp:revision>3</cp:revision>
  <cp:lastPrinted>2015-07-07T00:02:00Z</cp:lastPrinted>
  <dcterms:created xsi:type="dcterms:W3CDTF">2015-11-05T14:48:00Z</dcterms:created>
  <dcterms:modified xsi:type="dcterms:W3CDTF">2015-11-10T02:54:00Z</dcterms:modified>
</cp:coreProperties>
</file>