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117" w:rsidRDefault="001A6117" w:rsidP="001A6117">
      <w:pPr>
        <w:tabs>
          <w:tab w:val="left" w:pos="3712"/>
        </w:tabs>
        <w:jc w:val="right"/>
      </w:pPr>
    </w:p>
    <w:p w:rsidR="001A6117" w:rsidRPr="00F155DE" w:rsidRDefault="001A6117" w:rsidP="001A6117">
      <w:pPr>
        <w:tabs>
          <w:tab w:val="left" w:pos="3712"/>
        </w:tabs>
      </w:pPr>
    </w:p>
    <w:p w:rsidR="001A6117" w:rsidRPr="00C54D65" w:rsidRDefault="001A6117" w:rsidP="001A6117">
      <w:pPr>
        <w:jc w:val="center"/>
        <w:rPr>
          <w:b/>
          <w:color w:val="000000"/>
          <w:sz w:val="23"/>
          <w:szCs w:val="23"/>
        </w:rPr>
      </w:pPr>
      <w:r w:rsidRPr="00C54D65">
        <w:rPr>
          <w:b/>
          <w:color w:val="000000"/>
          <w:sz w:val="23"/>
          <w:szCs w:val="23"/>
        </w:rPr>
        <w:t>ТЕХНИЧЕСКОЕ ЗАДАНИЕ</w:t>
      </w:r>
    </w:p>
    <w:p w:rsidR="001A6117" w:rsidRPr="00C54D65" w:rsidRDefault="001A6117" w:rsidP="001A6117">
      <w:pPr>
        <w:jc w:val="center"/>
        <w:rPr>
          <w:b/>
          <w:color w:val="000000"/>
          <w:sz w:val="23"/>
          <w:szCs w:val="23"/>
        </w:rPr>
      </w:pPr>
    </w:p>
    <w:p w:rsidR="001A6117" w:rsidRDefault="001A6117" w:rsidP="001A6117">
      <w:pPr>
        <w:keepNext/>
        <w:jc w:val="center"/>
        <w:outlineLvl w:val="0"/>
        <w:rPr>
          <w:bCs/>
        </w:rPr>
      </w:pPr>
      <w:r>
        <w:rPr>
          <w:bCs/>
        </w:rPr>
        <w:t xml:space="preserve">На выполнение </w:t>
      </w:r>
      <w:r w:rsidRPr="00F55400">
        <w:rPr>
          <w:bCs/>
        </w:rPr>
        <w:t>комплекс</w:t>
      </w:r>
      <w:r>
        <w:rPr>
          <w:bCs/>
        </w:rPr>
        <w:t xml:space="preserve">а проектно-изыскательских </w:t>
      </w:r>
      <w:r w:rsidR="00A060EA">
        <w:rPr>
          <w:bCs/>
        </w:rPr>
        <w:t xml:space="preserve">и кадастровых </w:t>
      </w:r>
      <w:r>
        <w:rPr>
          <w:bCs/>
        </w:rPr>
        <w:t>работ</w:t>
      </w:r>
      <w:r w:rsidRPr="00F55400">
        <w:rPr>
          <w:bCs/>
        </w:rPr>
        <w:t xml:space="preserve"> по оформлению право удостоверяющих, исходно-разрешительных документов на объекты </w:t>
      </w:r>
      <w:proofErr w:type="gramStart"/>
      <w:r w:rsidRPr="00F55400">
        <w:rPr>
          <w:bCs/>
        </w:rPr>
        <w:t>движимого-недвижимого</w:t>
      </w:r>
      <w:proofErr w:type="gramEnd"/>
      <w:r w:rsidRPr="00F55400">
        <w:rPr>
          <w:bCs/>
        </w:rPr>
        <w:t xml:space="preserve"> имущест</w:t>
      </w:r>
      <w:r>
        <w:rPr>
          <w:bCs/>
        </w:rPr>
        <w:t xml:space="preserve">ва в зоне обслуживания филиала </w:t>
      </w:r>
      <w:r w:rsidRPr="00F55400">
        <w:rPr>
          <w:bCs/>
        </w:rPr>
        <w:t>АО «ДРСК» «Хабаровские ЭС»</w:t>
      </w:r>
    </w:p>
    <w:p w:rsidR="001A6117" w:rsidRPr="00C54D65" w:rsidRDefault="001A6117" w:rsidP="001A6117">
      <w:pPr>
        <w:keepNext/>
        <w:jc w:val="center"/>
        <w:outlineLvl w:val="0"/>
        <w:rPr>
          <w:bCs/>
          <w:sz w:val="23"/>
          <w:szCs w:val="23"/>
        </w:rPr>
      </w:pPr>
    </w:p>
    <w:p w:rsidR="001A6117" w:rsidRPr="00C54D65" w:rsidRDefault="001A6117" w:rsidP="001A6117">
      <w:pPr>
        <w:ind w:firstLine="708"/>
        <w:jc w:val="both"/>
        <w:rPr>
          <w:b/>
          <w:sz w:val="23"/>
          <w:szCs w:val="23"/>
        </w:rPr>
      </w:pPr>
      <w:r w:rsidRPr="00C54D65">
        <w:rPr>
          <w:b/>
          <w:sz w:val="23"/>
          <w:szCs w:val="23"/>
        </w:rPr>
        <w:t>1. Заказчик:</w:t>
      </w:r>
    </w:p>
    <w:p w:rsidR="001A6117" w:rsidRPr="00C54D65" w:rsidRDefault="001A6117" w:rsidP="001A6117">
      <w:pPr>
        <w:ind w:firstLine="708"/>
        <w:jc w:val="both"/>
        <w:rPr>
          <w:sz w:val="23"/>
          <w:szCs w:val="23"/>
        </w:rPr>
      </w:pPr>
      <w:r w:rsidRPr="00C54D65">
        <w:rPr>
          <w:sz w:val="23"/>
          <w:szCs w:val="23"/>
        </w:rPr>
        <w:t>Акционерное общество «Дальневосточная распределительная сетевая компания» филиал «Хабаровские электрические сети».</w:t>
      </w:r>
    </w:p>
    <w:p w:rsidR="001A6117" w:rsidRPr="00C54D65" w:rsidRDefault="001A6117" w:rsidP="001A6117">
      <w:pPr>
        <w:ind w:firstLine="708"/>
        <w:jc w:val="both"/>
        <w:rPr>
          <w:sz w:val="23"/>
          <w:szCs w:val="23"/>
        </w:rPr>
      </w:pPr>
    </w:p>
    <w:p w:rsidR="001A6117" w:rsidRPr="00C54D65" w:rsidRDefault="001A6117" w:rsidP="001A6117">
      <w:pPr>
        <w:tabs>
          <w:tab w:val="left" w:pos="720"/>
        </w:tabs>
        <w:jc w:val="both"/>
        <w:rPr>
          <w:b/>
          <w:sz w:val="23"/>
          <w:szCs w:val="23"/>
        </w:rPr>
      </w:pPr>
      <w:r w:rsidRPr="00C54D65">
        <w:rPr>
          <w:b/>
          <w:sz w:val="23"/>
          <w:szCs w:val="23"/>
        </w:rPr>
        <w:tab/>
        <w:t>2. Основание для выполнения работ:</w:t>
      </w:r>
    </w:p>
    <w:p w:rsidR="001A6117" w:rsidRPr="00C54D65" w:rsidRDefault="001A6117" w:rsidP="001A6117">
      <w:pPr>
        <w:ind w:firstLine="180"/>
        <w:jc w:val="both"/>
        <w:rPr>
          <w:sz w:val="23"/>
          <w:szCs w:val="23"/>
        </w:rPr>
      </w:pPr>
      <w:r w:rsidRPr="00C54D65">
        <w:rPr>
          <w:sz w:val="23"/>
          <w:szCs w:val="23"/>
        </w:rPr>
        <w:t xml:space="preserve">Инвестиционная программа АО «Дальневосточная распределительная сетевая компания» </w:t>
      </w:r>
    </w:p>
    <w:p w:rsidR="001A6117" w:rsidRPr="00C54D65" w:rsidRDefault="001A6117" w:rsidP="001A6117">
      <w:pPr>
        <w:ind w:firstLine="180"/>
        <w:jc w:val="both"/>
        <w:rPr>
          <w:sz w:val="23"/>
          <w:szCs w:val="23"/>
        </w:rPr>
      </w:pPr>
      <w:r w:rsidRPr="00C54D65">
        <w:rPr>
          <w:sz w:val="23"/>
          <w:szCs w:val="23"/>
        </w:rPr>
        <w:t>на 2015 г.</w:t>
      </w:r>
    </w:p>
    <w:p w:rsidR="001A6117" w:rsidRPr="00C54D65" w:rsidRDefault="001A6117" w:rsidP="001A6117">
      <w:pPr>
        <w:keepNext/>
        <w:outlineLvl w:val="0"/>
        <w:rPr>
          <w:bCs/>
          <w:sz w:val="23"/>
          <w:szCs w:val="23"/>
        </w:rPr>
      </w:pPr>
    </w:p>
    <w:p w:rsidR="001A6117" w:rsidRPr="00C54D65" w:rsidRDefault="001A6117" w:rsidP="001A6117">
      <w:pPr>
        <w:ind w:firstLine="708"/>
        <w:jc w:val="both"/>
        <w:rPr>
          <w:b/>
          <w:sz w:val="23"/>
          <w:szCs w:val="23"/>
        </w:rPr>
      </w:pPr>
      <w:r w:rsidRPr="00C54D65">
        <w:rPr>
          <w:b/>
          <w:sz w:val="23"/>
          <w:szCs w:val="23"/>
        </w:rPr>
        <w:t>3. Основные характеристики объекта и виды выполняемых работ:</w:t>
      </w:r>
    </w:p>
    <w:p w:rsidR="001A6117" w:rsidRPr="00C54D65" w:rsidRDefault="001A6117" w:rsidP="001A6117">
      <w:pPr>
        <w:ind w:firstLine="708"/>
        <w:jc w:val="both"/>
        <w:rPr>
          <w:b/>
          <w:sz w:val="23"/>
          <w:szCs w:val="23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3800"/>
        <w:gridCol w:w="3800"/>
        <w:gridCol w:w="1985"/>
      </w:tblGrid>
      <w:tr w:rsidR="001A6117" w:rsidRPr="00C54D65" w:rsidTr="00AE1373">
        <w:tc>
          <w:tcPr>
            <w:tcW w:w="588" w:type="dxa"/>
            <w:shd w:val="clear" w:color="auto" w:fill="auto"/>
          </w:tcPr>
          <w:p w:rsidR="001A6117" w:rsidRPr="00C54D65" w:rsidRDefault="001A6117" w:rsidP="00AE1373">
            <w:pPr>
              <w:jc w:val="center"/>
              <w:rPr>
                <w:b/>
                <w:sz w:val="23"/>
                <w:szCs w:val="23"/>
              </w:rPr>
            </w:pPr>
            <w:r w:rsidRPr="00C54D65">
              <w:rPr>
                <w:b/>
                <w:sz w:val="23"/>
                <w:szCs w:val="23"/>
              </w:rPr>
              <w:t xml:space="preserve">№ </w:t>
            </w:r>
            <w:proofErr w:type="gramStart"/>
            <w:r w:rsidRPr="00C54D65">
              <w:rPr>
                <w:b/>
                <w:sz w:val="23"/>
                <w:szCs w:val="23"/>
              </w:rPr>
              <w:t>п</w:t>
            </w:r>
            <w:proofErr w:type="gramEnd"/>
            <w:r w:rsidRPr="00C54D65">
              <w:rPr>
                <w:b/>
                <w:sz w:val="23"/>
                <w:szCs w:val="23"/>
              </w:rPr>
              <w:t>/п</w:t>
            </w:r>
          </w:p>
        </w:tc>
        <w:tc>
          <w:tcPr>
            <w:tcW w:w="3800" w:type="dxa"/>
            <w:shd w:val="clear" w:color="auto" w:fill="auto"/>
          </w:tcPr>
          <w:p w:rsidR="001A6117" w:rsidRPr="00C54D65" w:rsidRDefault="001A6117" w:rsidP="00AE1373">
            <w:pPr>
              <w:jc w:val="center"/>
              <w:rPr>
                <w:b/>
                <w:sz w:val="23"/>
                <w:szCs w:val="23"/>
              </w:rPr>
            </w:pPr>
            <w:r w:rsidRPr="00C54D65">
              <w:rPr>
                <w:b/>
                <w:sz w:val="23"/>
                <w:szCs w:val="23"/>
              </w:rPr>
              <w:t>Наименование и местоположение объекта</w:t>
            </w:r>
          </w:p>
        </w:tc>
        <w:tc>
          <w:tcPr>
            <w:tcW w:w="3800" w:type="dxa"/>
            <w:shd w:val="clear" w:color="auto" w:fill="auto"/>
          </w:tcPr>
          <w:p w:rsidR="001A6117" w:rsidRPr="00C54D65" w:rsidRDefault="001A6117" w:rsidP="00AE1373">
            <w:pPr>
              <w:jc w:val="center"/>
              <w:rPr>
                <w:b/>
                <w:sz w:val="23"/>
                <w:szCs w:val="23"/>
              </w:rPr>
            </w:pPr>
            <w:r w:rsidRPr="00C54D65">
              <w:rPr>
                <w:b/>
                <w:sz w:val="23"/>
                <w:szCs w:val="23"/>
              </w:rPr>
              <w:t>Виды выполняемых работ</w:t>
            </w:r>
          </w:p>
        </w:tc>
        <w:tc>
          <w:tcPr>
            <w:tcW w:w="1985" w:type="dxa"/>
          </w:tcPr>
          <w:p w:rsidR="001A6117" w:rsidRPr="00C54D65" w:rsidRDefault="001A6117" w:rsidP="00AE1373">
            <w:pPr>
              <w:jc w:val="center"/>
              <w:rPr>
                <w:b/>
                <w:sz w:val="23"/>
                <w:szCs w:val="23"/>
              </w:rPr>
            </w:pPr>
            <w:r w:rsidRPr="00C54D65">
              <w:rPr>
                <w:b/>
                <w:sz w:val="23"/>
                <w:szCs w:val="23"/>
              </w:rPr>
              <w:t xml:space="preserve"> Протяженность ЛЭП, </w:t>
            </w:r>
            <w:proofErr w:type="gramStart"/>
            <w:r w:rsidRPr="00C54D65">
              <w:rPr>
                <w:b/>
                <w:sz w:val="23"/>
                <w:szCs w:val="23"/>
              </w:rPr>
              <w:t>м</w:t>
            </w:r>
            <w:proofErr w:type="gramEnd"/>
            <w:r w:rsidRPr="00C54D65">
              <w:rPr>
                <w:b/>
                <w:sz w:val="23"/>
                <w:szCs w:val="23"/>
              </w:rPr>
              <w:t>.</w:t>
            </w:r>
          </w:p>
        </w:tc>
      </w:tr>
      <w:tr w:rsidR="001A6117" w:rsidRPr="00C54D65" w:rsidTr="0097412A">
        <w:tc>
          <w:tcPr>
            <w:tcW w:w="588" w:type="dxa"/>
            <w:shd w:val="clear" w:color="auto" w:fill="auto"/>
            <w:vAlign w:val="center"/>
          </w:tcPr>
          <w:p w:rsidR="001A6117" w:rsidRPr="00BC6E80" w:rsidRDefault="00090476" w:rsidP="00AE1373">
            <w:pPr>
              <w:jc w:val="center"/>
            </w:pPr>
            <w:r>
              <w:t>1</w:t>
            </w:r>
          </w:p>
        </w:tc>
        <w:tc>
          <w:tcPr>
            <w:tcW w:w="3800" w:type="dxa"/>
            <w:shd w:val="clear" w:color="auto" w:fill="auto"/>
            <w:vAlign w:val="center"/>
          </w:tcPr>
          <w:p w:rsidR="00BC685B" w:rsidRDefault="007C16F7" w:rsidP="00BC685B">
            <w:pPr>
              <w:jc w:val="both"/>
            </w:pPr>
            <w:r>
              <w:t xml:space="preserve">Николаевск-на-Амуре,  </w:t>
            </w:r>
          </w:p>
          <w:p w:rsidR="001A6117" w:rsidRPr="00BC6E80" w:rsidRDefault="007C16F7" w:rsidP="00BC685B">
            <w:pPr>
              <w:jc w:val="both"/>
            </w:pPr>
            <w:r>
              <w:t>ул. Энтузиастов</w:t>
            </w:r>
          </w:p>
        </w:tc>
        <w:tc>
          <w:tcPr>
            <w:tcW w:w="3800" w:type="dxa"/>
            <w:shd w:val="clear" w:color="auto" w:fill="auto"/>
            <w:vAlign w:val="center"/>
          </w:tcPr>
          <w:p w:rsidR="00DD643C" w:rsidRPr="00DD643C" w:rsidRDefault="00DD643C" w:rsidP="00DD643C">
            <w:pPr>
              <w:keepNext/>
              <w:ind w:firstLine="432"/>
              <w:jc w:val="both"/>
              <w:outlineLvl w:val="0"/>
              <w:rPr>
                <w:bCs/>
                <w:sz w:val="20"/>
                <w:szCs w:val="20"/>
              </w:rPr>
            </w:pPr>
            <w:r w:rsidRPr="00DD643C">
              <w:rPr>
                <w:bCs/>
                <w:sz w:val="20"/>
                <w:szCs w:val="20"/>
              </w:rPr>
              <w:t>1.</w:t>
            </w:r>
            <w:r w:rsidRPr="00DD643C">
              <w:rPr>
                <w:bCs/>
                <w:sz w:val="20"/>
                <w:szCs w:val="20"/>
              </w:rPr>
              <w:tab/>
              <w:t>Выполнение и согласование исполнительной топографической схемы местоположения объекта М 1:500;</w:t>
            </w:r>
          </w:p>
          <w:p w:rsidR="001A6117" w:rsidRPr="00BC6E80" w:rsidRDefault="00DD643C" w:rsidP="00DD643C">
            <w:pPr>
              <w:ind w:firstLine="432"/>
              <w:jc w:val="both"/>
              <w:rPr>
                <w:sz w:val="20"/>
                <w:szCs w:val="20"/>
                <w:lang w:eastAsia="en-US"/>
              </w:rPr>
            </w:pPr>
            <w:r w:rsidRPr="00DD643C">
              <w:rPr>
                <w:bCs/>
                <w:sz w:val="20"/>
                <w:szCs w:val="20"/>
              </w:rPr>
              <w:t>2.</w:t>
            </w:r>
            <w:r w:rsidRPr="00DD643C">
              <w:rPr>
                <w:bCs/>
                <w:sz w:val="20"/>
                <w:szCs w:val="20"/>
              </w:rPr>
              <w:tab/>
              <w:t>Изготовить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:rsidR="001A6117" w:rsidRPr="00BC6E80" w:rsidRDefault="007C16F7" w:rsidP="00AE1373">
            <w:pPr>
              <w:keepNext/>
              <w:jc w:val="center"/>
              <w:outlineLvl w:val="0"/>
              <w:rPr>
                <w:b/>
                <w:bCs/>
              </w:rPr>
            </w:pPr>
            <w:r>
              <w:t>955</w:t>
            </w:r>
          </w:p>
        </w:tc>
      </w:tr>
      <w:tr w:rsidR="002E6928" w:rsidRPr="00C54D65" w:rsidTr="0097412A">
        <w:tc>
          <w:tcPr>
            <w:tcW w:w="588" w:type="dxa"/>
            <w:shd w:val="clear" w:color="auto" w:fill="auto"/>
            <w:vAlign w:val="center"/>
          </w:tcPr>
          <w:p w:rsidR="002E6928" w:rsidRPr="00090476" w:rsidRDefault="00090476" w:rsidP="00AE1373">
            <w:pPr>
              <w:jc w:val="center"/>
            </w:pPr>
            <w:r>
              <w:t>2</w:t>
            </w:r>
          </w:p>
        </w:tc>
        <w:tc>
          <w:tcPr>
            <w:tcW w:w="3800" w:type="dxa"/>
            <w:shd w:val="clear" w:color="auto" w:fill="auto"/>
            <w:vAlign w:val="center"/>
          </w:tcPr>
          <w:p w:rsidR="002E6928" w:rsidRPr="002E6928" w:rsidRDefault="002E6928" w:rsidP="00BC685B">
            <w:pPr>
              <w:jc w:val="both"/>
            </w:pPr>
            <w:r>
              <w:t>Хабаровский край, с. Болонь</w:t>
            </w:r>
          </w:p>
        </w:tc>
        <w:tc>
          <w:tcPr>
            <w:tcW w:w="3800" w:type="dxa"/>
            <w:shd w:val="clear" w:color="auto" w:fill="auto"/>
            <w:vAlign w:val="center"/>
          </w:tcPr>
          <w:p w:rsidR="002E6928" w:rsidRPr="00DD643C" w:rsidRDefault="002E6928" w:rsidP="002E6928">
            <w:pPr>
              <w:keepNext/>
              <w:ind w:firstLine="432"/>
              <w:jc w:val="both"/>
              <w:outlineLvl w:val="0"/>
              <w:rPr>
                <w:bCs/>
                <w:sz w:val="20"/>
                <w:szCs w:val="20"/>
              </w:rPr>
            </w:pPr>
            <w:r w:rsidRPr="00DD643C">
              <w:rPr>
                <w:bCs/>
                <w:sz w:val="20"/>
                <w:szCs w:val="20"/>
              </w:rPr>
              <w:t>1.</w:t>
            </w:r>
            <w:r w:rsidRPr="00DD643C">
              <w:rPr>
                <w:bCs/>
                <w:sz w:val="20"/>
                <w:szCs w:val="20"/>
              </w:rPr>
              <w:tab/>
              <w:t>Выполнение и согласование исполнительной топографической схемы местоположения объекта М 1:500;</w:t>
            </w:r>
          </w:p>
          <w:p w:rsidR="002E6928" w:rsidRPr="00DD643C" w:rsidRDefault="002E6928" w:rsidP="002E6928">
            <w:pPr>
              <w:keepNext/>
              <w:ind w:firstLine="432"/>
              <w:jc w:val="both"/>
              <w:outlineLvl w:val="0"/>
              <w:rPr>
                <w:bCs/>
                <w:sz w:val="20"/>
                <w:szCs w:val="20"/>
              </w:rPr>
            </w:pPr>
            <w:r w:rsidRPr="00DD643C">
              <w:rPr>
                <w:bCs/>
                <w:sz w:val="20"/>
                <w:szCs w:val="20"/>
              </w:rPr>
              <w:t>2.</w:t>
            </w:r>
            <w:r w:rsidRPr="00DD643C">
              <w:rPr>
                <w:bCs/>
                <w:sz w:val="20"/>
                <w:szCs w:val="20"/>
              </w:rPr>
              <w:tab/>
              <w:t>Изготовить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:rsidR="002E6928" w:rsidRDefault="002E6928" w:rsidP="00AE1373">
            <w:pPr>
              <w:keepNext/>
              <w:jc w:val="center"/>
              <w:outlineLvl w:val="0"/>
            </w:pPr>
            <w:r>
              <w:t>5018</w:t>
            </w:r>
          </w:p>
        </w:tc>
      </w:tr>
      <w:tr w:rsidR="001A6117" w:rsidRPr="00C54D65" w:rsidTr="00AE1373">
        <w:tc>
          <w:tcPr>
            <w:tcW w:w="8188" w:type="dxa"/>
            <w:gridSpan w:val="3"/>
            <w:shd w:val="clear" w:color="auto" w:fill="auto"/>
          </w:tcPr>
          <w:p w:rsidR="001A6117" w:rsidRPr="00C54D65" w:rsidRDefault="001A6117" w:rsidP="00AE1373">
            <w:pPr>
              <w:rPr>
                <w:bCs/>
                <w:sz w:val="20"/>
                <w:szCs w:val="20"/>
              </w:rPr>
            </w:pPr>
            <w:r w:rsidRPr="00C54D65">
              <w:t>Всего</w:t>
            </w:r>
          </w:p>
        </w:tc>
        <w:tc>
          <w:tcPr>
            <w:tcW w:w="1985" w:type="dxa"/>
            <w:vAlign w:val="center"/>
          </w:tcPr>
          <w:p w:rsidR="001A6117" w:rsidRPr="00C54D65" w:rsidRDefault="00090476" w:rsidP="00DD643C">
            <w:pPr>
              <w:keepNext/>
              <w:jc w:val="center"/>
              <w:outlineLvl w:val="0"/>
            </w:pPr>
            <w:r>
              <w:t>5973</w:t>
            </w:r>
          </w:p>
        </w:tc>
      </w:tr>
    </w:tbl>
    <w:p w:rsidR="001A6117" w:rsidRPr="00C54D65" w:rsidRDefault="001A6117" w:rsidP="001A6117">
      <w:pPr>
        <w:jc w:val="both"/>
        <w:rPr>
          <w:b/>
          <w:sz w:val="23"/>
          <w:szCs w:val="23"/>
        </w:rPr>
      </w:pPr>
    </w:p>
    <w:p w:rsidR="001A6117" w:rsidRPr="00A3147B" w:rsidRDefault="001A6117" w:rsidP="001A6117">
      <w:pPr>
        <w:ind w:firstLine="708"/>
        <w:jc w:val="both"/>
        <w:rPr>
          <w:b/>
        </w:rPr>
      </w:pPr>
      <w:r w:rsidRPr="00A3147B">
        <w:rPr>
          <w:b/>
        </w:rPr>
        <w:t>4. Основной объем работ:</w:t>
      </w:r>
    </w:p>
    <w:p w:rsidR="001A6117" w:rsidRPr="00A3147B" w:rsidRDefault="001A6117" w:rsidP="001A6117">
      <w:pPr>
        <w:ind w:firstLine="708"/>
        <w:jc w:val="both"/>
        <w:rPr>
          <w:b/>
        </w:rPr>
      </w:pPr>
      <w:r w:rsidRPr="00A3147B">
        <w:rPr>
          <w:b/>
        </w:rPr>
        <w:t>4.1. В отношении объектов строительства, планируемых к расположению на землях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сервитута:</w:t>
      </w:r>
    </w:p>
    <w:p w:rsidR="001A6117" w:rsidRPr="00A3147B" w:rsidRDefault="001A6117" w:rsidP="001A6117">
      <w:pPr>
        <w:ind w:firstLine="708"/>
        <w:jc w:val="both"/>
        <w:rPr>
          <w:b/>
        </w:rPr>
      </w:pPr>
    </w:p>
    <w:p w:rsidR="001A6117" w:rsidRPr="00A3147B" w:rsidRDefault="001A6117" w:rsidP="001A6117">
      <w:pPr>
        <w:ind w:firstLine="708"/>
        <w:jc w:val="both"/>
        <w:rPr>
          <w:b/>
        </w:rPr>
      </w:pPr>
      <w:r w:rsidRPr="00A3147B">
        <w:rPr>
          <w:b/>
        </w:rPr>
        <w:t>4.1.1. Первый этап</w:t>
      </w:r>
      <w:r w:rsidRPr="00A3147B">
        <w:t>:</w:t>
      </w:r>
    </w:p>
    <w:p w:rsidR="001A6117" w:rsidRPr="00A3147B" w:rsidRDefault="001A6117" w:rsidP="001A6117">
      <w:pPr>
        <w:ind w:firstLine="709"/>
        <w:jc w:val="both"/>
      </w:pPr>
      <w:r w:rsidRPr="00A3147B">
        <w:t>4.1.1.1. Выезд с представителем АО «ДРСК</w:t>
      </w:r>
      <w:proofErr w:type="gramStart"/>
      <w:r w:rsidRPr="00A3147B">
        <w:t>»-</w:t>
      </w:r>
      <w:proofErr w:type="gramEnd"/>
      <w:r w:rsidRPr="00A3147B">
        <w:t>«ХЭС» на предполагаемое место строительства, для определения трассы объекта.</w:t>
      </w:r>
    </w:p>
    <w:p w:rsidR="001A6117" w:rsidRPr="00A3147B" w:rsidRDefault="001A6117" w:rsidP="001A6117">
      <w:pPr>
        <w:ind w:firstLine="709"/>
        <w:jc w:val="both"/>
      </w:pPr>
      <w:r w:rsidRPr="00A3147B">
        <w:t xml:space="preserve">4.1.1.2. На основании предварительно выбранного варианта прохождения трассы, получить в территориальном управлении </w:t>
      </w:r>
      <w:proofErr w:type="spellStart"/>
      <w:r w:rsidRPr="00A3147B">
        <w:t>Росреестра</w:t>
      </w:r>
      <w:proofErr w:type="spellEnd"/>
      <w:r w:rsidRPr="00A3147B">
        <w:t xml:space="preserve"> сведения государственного кадастра недвижимости в виде кадастрового плана территорий (КПТ) и (или) кадастрового паспорта земельного участка, на котором предполагается размещение объекта;</w:t>
      </w:r>
    </w:p>
    <w:p w:rsidR="001A6117" w:rsidRPr="00A3147B" w:rsidRDefault="001A6117" w:rsidP="001A6117">
      <w:pPr>
        <w:ind w:firstLine="708"/>
        <w:jc w:val="both"/>
      </w:pPr>
      <w:r w:rsidRPr="00A3147B">
        <w:t>4.1.1.3. Изготовить схему границ предполагаемых к использованию земель или части земельного участка на кадастровом плане территории</w:t>
      </w:r>
      <w:r w:rsidRPr="00A3147B">
        <w:rPr>
          <w:b/>
        </w:rPr>
        <w:t xml:space="preserve"> </w:t>
      </w:r>
      <w:r w:rsidRPr="00A3147B">
        <w:t>с указанием координат характерных точек границ территории – в случае, если планируется использовать земли или часть земельного участка (с использованием системы координат, применяемой при ведении государственного кадастра недвижимости).</w:t>
      </w:r>
    </w:p>
    <w:p w:rsidR="001A6117" w:rsidRPr="00A3147B" w:rsidRDefault="001A6117" w:rsidP="001A6117">
      <w:pPr>
        <w:tabs>
          <w:tab w:val="left" w:pos="180"/>
        </w:tabs>
        <w:ind w:firstLine="709"/>
        <w:jc w:val="both"/>
      </w:pPr>
      <w:r w:rsidRPr="00A3147B">
        <w:lastRenderedPageBreak/>
        <w:t>4.1.1.4. Согласовать с Заказчиком схему границ предполагаемых к использованию земель или части земельного участка на кадастровом плане территории</w:t>
      </w:r>
      <w:r w:rsidRPr="00A3147B">
        <w:rPr>
          <w:b/>
        </w:rPr>
        <w:t xml:space="preserve"> </w:t>
      </w:r>
      <w:r w:rsidRPr="00A3147B">
        <w:t>с указанием координат характерных точек границ территории</w:t>
      </w:r>
    </w:p>
    <w:p w:rsidR="001A6117" w:rsidRPr="00A3147B" w:rsidRDefault="001A6117" w:rsidP="001A6117">
      <w:pPr>
        <w:ind w:firstLine="708"/>
        <w:jc w:val="both"/>
      </w:pPr>
      <w:r w:rsidRPr="00A3147B">
        <w:t>4.1.1.5. Подготовить и направить заявление о выдаче разрешения на использование земель в исполнительный орган государственной власти или орган местного самоуправления, уполномоченный на предоставление земельных участков, находящихся в государственной или муниципальной собственности.</w:t>
      </w:r>
    </w:p>
    <w:p w:rsidR="001A6117" w:rsidRPr="00A3147B" w:rsidRDefault="001A6117" w:rsidP="001A6117">
      <w:pPr>
        <w:ind w:firstLine="708"/>
        <w:jc w:val="both"/>
      </w:pPr>
    </w:p>
    <w:p w:rsidR="001A6117" w:rsidRPr="00A3147B" w:rsidRDefault="001A6117" w:rsidP="001A6117">
      <w:pPr>
        <w:numPr>
          <w:ilvl w:val="2"/>
          <w:numId w:val="1"/>
        </w:numPr>
        <w:tabs>
          <w:tab w:val="left" w:pos="180"/>
        </w:tabs>
        <w:jc w:val="both"/>
        <w:rPr>
          <w:b/>
        </w:rPr>
      </w:pPr>
      <w:r w:rsidRPr="00A3147B">
        <w:rPr>
          <w:b/>
        </w:rPr>
        <w:t>Второй этап:</w:t>
      </w:r>
    </w:p>
    <w:p w:rsidR="001A6117" w:rsidRPr="00A3147B" w:rsidRDefault="001A6117" w:rsidP="001A6117">
      <w:pPr>
        <w:tabs>
          <w:tab w:val="left" w:pos="180"/>
        </w:tabs>
        <w:ind w:left="1428"/>
        <w:jc w:val="both"/>
        <w:rPr>
          <w:b/>
        </w:rPr>
      </w:pPr>
    </w:p>
    <w:p w:rsidR="001A6117" w:rsidRPr="00A3147B" w:rsidRDefault="001A6117" w:rsidP="001A6117">
      <w:pPr>
        <w:ind w:firstLine="709"/>
        <w:jc w:val="both"/>
      </w:pPr>
      <w:r w:rsidRPr="00A3147B">
        <w:t>4.1.2.1. Выполнение исполнительной топографической схемы местоположения объекта масштаба 1:500</w:t>
      </w:r>
      <w:r w:rsidR="00A060EA" w:rsidRPr="00A3147B">
        <w:t>- 1:2000</w:t>
      </w:r>
      <w:r w:rsidRPr="00A3147B">
        <w:t>.</w:t>
      </w:r>
    </w:p>
    <w:p w:rsidR="001A6117" w:rsidRPr="00A3147B" w:rsidRDefault="001A6117" w:rsidP="001A6117">
      <w:pPr>
        <w:ind w:firstLine="709"/>
        <w:jc w:val="both"/>
      </w:pPr>
      <w:r w:rsidRPr="00A3147B">
        <w:t>4.1.2.2. Согласовать исполнительную топографическую схему местоположения объекта в уполномоченном органе исполнительной власти по территориальной принадлежности объекта.</w:t>
      </w:r>
    </w:p>
    <w:p w:rsidR="001A6117" w:rsidRPr="00A3147B" w:rsidRDefault="001A6117" w:rsidP="001A6117">
      <w:pPr>
        <w:ind w:firstLine="708"/>
        <w:jc w:val="both"/>
        <w:rPr>
          <w:b/>
        </w:rPr>
      </w:pPr>
      <w:r w:rsidRPr="00A3147B">
        <w:rPr>
          <w:b/>
        </w:rPr>
        <w:t>4.2. В отношении объектов строительства, планируемых к расположению части земельных участков, находящихся в государственной и муниципальной собственности, а также в</w:t>
      </w:r>
      <w:r w:rsidRPr="00A3147B">
        <w:rPr>
          <w:color w:val="FF0000"/>
        </w:rPr>
        <w:t xml:space="preserve"> </w:t>
      </w:r>
      <w:r w:rsidRPr="00A3147B">
        <w:rPr>
          <w:b/>
        </w:rPr>
        <w:t>собственности физических, юридических лиц:</w:t>
      </w:r>
    </w:p>
    <w:p w:rsidR="001A6117" w:rsidRPr="00A3147B" w:rsidRDefault="001A6117" w:rsidP="001A6117">
      <w:pPr>
        <w:ind w:firstLine="708"/>
        <w:jc w:val="both"/>
        <w:rPr>
          <w:b/>
        </w:rPr>
      </w:pPr>
    </w:p>
    <w:p w:rsidR="001A6117" w:rsidRPr="00A3147B" w:rsidRDefault="001A6117" w:rsidP="001A6117">
      <w:pPr>
        <w:ind w:firstLine="708"/>
        <w:jc w:val="both"/>
        <w:rPr>
          <w:b/>
        </w:rPr>
      </w:pPr>
      <w:r w:rsidRPr="00A3147B">
        <w:rPr>
          <w:b/>
        </w:rPr>
        <w:t>4.2.1. Первый этап:</w:t>
      </w:r>
    </w:p>
    <w:p w:rsidR="001A6117" w:rsidRPr="00A3147B" w:rsidRDefault="001A6117" w:rsidP="001A6117">
      <w:pPr>
        <w:ind w:firstLine="708"/>
        <w:jc w:val="both"/>
        <w:rPr>
          <w:b/>
        </w:rPr>
      </w:pPr>
    </w:p>
    <w:p w:rsidR="001A6117" w:rsidRPr="00A3147B" w:rsidRDefault="001A6117" w:rsidP="001A6117">
      <w:pPr>
        <w:ind w:firstLine="709"/>
        <w:jc w:val="both"/>
      </w:pPr>
      <w:r w:rsidRPr="00A3147B">
        <w:t>4.2.1.1. Вые</w:t>
      </w:r>
      <w:proofErr w:type="gramStart"/>
      <w:r w:rsidRPr="00A3147B">
        <w:t>зд с пр</w:t>
      </w:r>
      <w:proofErr w:type="gramEnd"/>
      <w:r w:rsidRPr="00A3147B">
        <w:t>едставителем АО «ДРСК» на предполагаемое место строительства, для определения трассы объекта.</w:t>
      </w:r>
    </w:p>
    <w:p w:rsidR="001A6117" w:rsidRPr="00A3147B" w:rsidRDefault="001A6117" w:rsidP="001A6117">
      <w:pPr>
        <w:tabs>
          <w:tab w:val="left" w:pos="180"/>
        </w:tabs>
        <w:ind w:firstLine="709"/>
        <w:jc w:val="both"/>
      </w:pPr>
      <w:r w:rsidRPr="00A3147B">
        <w:t>4.2.1.2. Подготовить и согласовать схему границ сервитута на кадастровом плане территории</w:t>
      </w:r>
      <w:r w:rsidRPr="00A3147B">
        <w:rPr>
          <w:b/>
        </w:rPr>
        <w:t xml:space="preserve"> </w:t>
      </w:r>
      <w:r w:rsidRPr="00A3147B">
        <w:t>с указанием координат характерных точек границ территории с Собственником земельного участка</w:t>
      </w:r>
      <w:r w:rsidRPr="00A3147B">
        <w:rPr>
          <w:color w:val="FF0000"/>
        </w:rPr>
        <w:t xml:space="preserve"> </w:t>
      </w:r>
      <w:r w:rsidRPr="00A3147B">
        <w:t>и Заказчиком.</w:t>
      </w:r>
    </w:p>
    <w:p w:rsidR="001A6117" w:rsidRPr="00A3147B" w:rsidRDefault="001A6117" w:rsidP="001A6117">
      <w:pPr>
        <w:shd w:val="clear" w:color="auto" w:fill="FFFFFF"/>
        <w:tabs>
          <w:tab w:val="left" w:pos="709"/>
        </w:tabs>
        <w:ind w:firstLine="709"/>
        <w:jc w:val="both"/>
      </w:pPr>
    </w:p>
    <w:p w:rsidR="001A6117" w:rsidRPr="00A3147B" w:rsidRDefault="001A6117" w:rsidP="001A6117">
      <w:pPr>
        <w:ind w:firstLine="709"/>
        <w:jc w:val="both"/>
        <w:rPr>
          <w:b/>
        </w:rPr>
      </w:pPr>
      <w:r w:rsidRPr="00A3147B">
        <w:rPr>
          <w:b/>
        </w:rPr>
        <w:t>4.2.2. Второй этап:</w:t>
      </w:r>
    </w:p>
    <w:p w:rsidR="001A6117" w:rsidRPr="00A3147B" w:rsidRDefault="001A6117" w:rsidP="001A6117">
      <w:pPr>
        <w:ind w:firstLine="709"/>
        <w:jc w:val="both"/>
        <w:rPr>
          <w:b/>
        </w:rPr>
      </w:pPr>
    </w:p>
    <w:p w:rsidR="001A6117" w:rsidRPr="00A3147B" w:rsidRDefault="001A6117" w:rsidP="001A6117">
      <w:pPr>
        <w:ind w:firstLine="709"/>
        <w:jc w:val="both"/>
      </w:pPr>
      <w:r w:rsidRPr="00A3147B">
        <w:t>4.2.2.1. Выполнение исполнительной топографической схемы местоположения объекта масштаба 1:500</w:t>
      </w:r>
      <w:r w:rsidR="00044067" w:rsidRPr="00A3147B">
        <w:t>-1:2000.</w:t>
      </w:r>
    </w:p>
    <w:p w:rsidR="001A6117" w:rsidRPr="00A3147B" w:rsidRDefault="001A6117" w:rsidP="001A6117">
      <w:pPr>
        <w:ind w:firstLine="709"/>
        <w:jc w:val="both"/>
      </w:pPr>
      <w:r w:rsidRPr="00A3147B">
        <w:t>4.2.2.2. Согласовать исполнительную топографическую схему местоположения объекта в уполномоченном органе исполнительной власти по территориальной принадлежности объекта.</w:t>
      </w:r>
    </w:p>
    <w:p w:rsidR="001A6117" w:rsidRPr="00A3147B" w:rsidRDefault="001A6117" w:rsidP="001A6117">
      <w:pPr>
        <w:ind w:firstLine="709"/>
        <w:jc w:val="both"/>
      </w:pPr>
    </w:p>
    <w:p w:rsidR="001A6117" w:rsidRPr="00A3147B" w:rsidRDefault="001A6117" w:rsidP="001A6117">
      <w:pPr>
        <w:ind w:firstLine="709"/>
        <w:jc w:val="both"/>
        <w:rPr>
          <w:b/>
        </w:rPr>
      </w:pPr>
      <w:r w:rsidRPr="00A3147B">
        <w:rPr>
          <w:b/>
        </w:rPr>
        <w:t>5. Особые условия.</w:t>
      </w:r>
    </w:p>
    <w:p w:rsidR="001A6117" w:rsidRPr="00A3147B" w:rsidRDefault="001A6117" w:rsidP="001A6117">
      <w:pPr>
        <w:tabs>
          <w:tab w:val="left" w:pos="180"/>
        </w:tabs>
        <w:ind w:firstLine="709"/>
        <w:jc w:val="both"/>
      </w:pPr>
      <w:r w:rsidRPr="00A3147B">
        <w:t>5.1. Планировать расположение объекта с максимальным его размещением на землях и земельных участках, находящихся в государственной и муниципальной собственности.</w:t>
      </w:r>
    </w:p>
    <w:p w:rsidR="001A6117" w:rsidRPr="00A3147B" w:rsidRDefault="001A6117" w:rsidP="001A6117">
      <w:pPr>
        <w:tabs>
          <w:tab w:val="left" w:pos="180"/>
        </w:tabs>
        <w:ind w:firstLine="709"/>
        <w:jc w:val="both"/>
      </w:pPr>
      <w:r w:rsidRPr="00A3147B">
        <w:t>5.2. Схему границ предполагаемой к использованию части земельного участка изготовить на актуальном кадастровом плане территории, с указанием на схеме координат характерных точек границ территории.</w:t>
      </w:r>
    </w:p>
    <w:p w:rsidR="001A6117" w:rsidRPr="00A3147B" w:rsidRDefault="001A6117" w:rsidP="001A6117">
      <w:pPr>
        <w:autoSpaceDE w:val="0"/>
        <w:autoSpaceDN w:val="0"/>
        <w:adjustRightInd w:val="0"/>
        <w:ind w:firstLine="709"/>
        <w:jc w:val="both"/>
        <w:outlineLvl w:val="0"/>
      </w:pPr>
      <w:r w:rsidRPr="00A3147B">
        <w:t>5.3.</w:t>
      </w:r>
      <w:r w:rsidR="00074939">
        <w:t>1</w:t>
      </w:r>
      <w:r w:rsidRPr="00A3147B">
        <w:t>. Представить заказчику в электронном виде</w:t>
      </w:r>
      <w:r w:rsidR="00044067" w:rsidRPr="00A3147B">
        <w:t xml:space="preserve"> КПТ, КВЗУ</w:t>
      </w:r>
      <w:r w:rsidRPr="00A3147B">
        <w:t xml:space="preserve"> (формат</w:t>
      </w:r>
      <w:r w:rsidR="00044067" w:rsidRPr="00A3147B">
        <w:t>*</w:t>
      </w:r>
      <w:r w:rsidRPr="00A3147B">
        <w:rPr>
          <w:lang w:val="en-US"/>
        </w:rPr>
        <w:t>doc</w:t>
      </w:r>
      <w:r w:rsidRPr="00A3147B">
        <w:t>.,*</w:t>
      </w:r>
      <w:r w:rsidRPr="00A3147B">
        <w:rPr>
          <w:lang w:val="en-US"/>
        </w:rPr>
        <w:t>xml</w:t>
      </w:r>
      <w:r w:rsidRPr="00A3147B">
        <w:t xml:space="preserve">). 5.3.4. Исполнительную топографическую схему местоположения объекта масштаба 1:500 (с нанесением подземных коммуникаций и сооружений) представить заказчику на бумажном носителе в 1 </w:t>
      </w:r>
      <w:proofErr w:type="spellStart"/>
      <w:proofErr w:type="gramStart"/>
      <w:r w:rsidRPr="00A3147B">
        <w:t>экз</w:t>
      </w:r>
      <w:proofErr w:type="spellEnd"/>
      <w:proofErr w:type="gramEnd"/>
      <w:r w:rsidRPr="00A3147B">
        <w:t>, в электронном виде в формате (</w:t>
      </w:r>
      <w:proofErr w:type="spellStart"/>
      <w:r w:rsidRPr="00A3147B">
        <w:rPr>
          <w:lang w:val="en-US"/>
        </w:rPr>
        <w:t>dwg</w:t>
      </w:r>
      <w:proofErr w:type="spellEnd"/>
      <w:r w:rsidRPr="00A3147B">
        <w:t xml:space="preserve">, </w:t>
      </w:r>
      <w:r w:rsidRPr="00A3147B">
        <w:rPr>
          <w:lang w:val="en-US"/>
        </w:rPr>
        <w:t>tab</w:t>
      </w:r>
      <w:r w:rsidRPr="00A3147B">
        <w:t>)., в системе координат МСК-27.</w:t>
      </w:r>
    </w:p>
    <w:p w:rsidR="00044067" w:rsidRPr="00A3147B" w:rsidRDefault="00044067" w:rsidP="001A6117">
      <w:pPr>
        <w:autoSpaceDE w:val="0"/>
        <w:autoSpaceDN w:val="0"/>
        <w:adjustRightInd w:val="0"/>
        <w:ind w:firstLine="709"/>
        <w:jc w:val="both"/>
        <w:outlineLvl w:val="0"/>
      </w:pPr>
      <w:r w:rsidRPr="00A3147B">
        <w:t>5.3.</w:t>
      </w:r>
      <w:r w:rsidR="00074939">
        <w:t>2</w:t>
      </w:r>
      <w:r w:rsidRPr="00A3147B">
        <w:t>. Все мероприятия, необходимые для надлежащего исполнения договорных обязательств Подрядчик выполняет самостоятельно за счёт собственных средств.</w:t>
      </w:r>
    </w:p>
    <w:p w:rsidR="001A6117" w:rsidRPr="00A3147B" w:rsidRDefault="001A6117" w:rsidP="001A6117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  <w:r w:rsidRPr="00A3147B">
        <w:t>5.4. Параметры формируемых земельных участков:</w:t>
      </w:r>
    </w:p>
    <w:p w:rsidR="001A6117" w:rsidRPr="00A3147B" w:rsidRDefault="001A6117" w:rsidP="001A6117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  <w:r w:rsidRPr="00A3147B">
        <w:t xml:space="preserve">5.4.1. </w:t>
      </w:r>
      <w:proofErr w:type="gramStart"/>
      <w:r w:rsidRPr="00A3147B">
        <w:t xml:space="preserve">Размер земельного участка для установки опоры воздушной линии электропередачи напряжением до 10 </w:t>
      </w:r>
      <w:proofErr w:type="spellStart"/>
      <w:r w:rsidRPr="00A3147B">
        <w:t>кВ</w:t>
      </w:r>
      <w:proofErr w:type="spellEnd"/>
      <w:r w:rsidRPr="00A3147B">
        <w:t xml:space="preserve"> определяется как площадь контура, равного поперечному сечению опоры на уровне поверхности земли (Правила определения размеров земельных участков для размещения воздушных линий электропередачи и опор линии связи, обслуживающих электрические сети, утв. Постановлением Правительства Российской Федерации от 11.08.2003 г. № 486);</w:t>
      </w:r>
      <w:proofErr w:type="gramEnd"/>
    </w:p>
    <w:p w:rsidR="001A6117" w:rsidRPr="00A3147B" w:rsidRDefault="001A6117" w:rsidP="001A6117">
      <w:pPr>
        <w:autoSpaceDE w:val="0"/>
        <w:autoSpaceDN w:val="0"/>
        <w:adjustRightInd w:val="0"/>
        <w:ind w:firstLine="708"/>
        <w:jc w:val="both"/>
        <w:outlineLvl w:val="0"/>
      </w:pPr>
      <w:r w:rsidRPr="00A3147B">
        <w:t>5.5. Данное техническое задание подготовлено в соответствии с пунктом 1.1.3., 1.1.5 рамочных соглашений от 14.01.2015 № 1, от 30.12.2014 № 3742/</w:t>
      </w:r>
      <w:proofErr w:type="spellStart"/>
      <w:r w:rsidRPr="00A3147B">
        <w:t>хэс</w:t>
      </w:r>
      <w:proofErr w:type="spellEnd"/>
      <w:r w:rsidRPr="00A3147B">
        <w:t xml:space="preserve">, заключенных в рамках </w:t>
      </w:r>
      <w:r w:rsidRPr="00A3147B">
        <w:lastRenderedPageBreak/>
        <w:t>закупки 88 «</w:t>
      </w:r>
      <w:r w:rsidRPr="00A3147B">
        <w:rPr>
          <w:bCs/>
        </w:rPr>
        <w:t xml:space="preserve">Проектно-изыскательские работы, по оформлению право удостоверяющих, исходно-разрешительных документов на объекты </w:t>
      </w:r>
      <w:proofErr w:type="gramStart"/>
      <w:r w:rsidRPr="00A3147B">
        <w:rPr>
          <w:bCs/>
        </w:rPr>
        <w:t>движимого-недвижимого</w:t>
      </w:r>
      <w:proofErr w:type="gramEnd"/>
      <w:r w:rsidRPr="00A3147B">
        <w:rPr>
          <w:bCs/>
        </w:rPr>
        <w:t xml:space="preserve"> имущества в зоне обслуживания филиала АО «ДРСК» «Хабаровские ЭС» (Технологическое присоединение потребителей)</w:t>
      </w:r>
      <w:r w:rsidRPr="00A3147B">
        <w:t>, раздел 2.1.1. «Услуги КС», ГКПЗ 2015 года, утв. ЦЗК №26 от 30.10.2014 года.</w:t>
      </w:r>
    </w:p>
    <w:p w:rsidR="001A6117" w:rsidRPr="00A3147B" w:rsidRDefault="001A6117" w:rsidP="00044067">
      <w:pPr>
        <w:autoSpaceDE w:val="0"/>
        <w:autoSpaceDN w:val="0"/>
        <w:adjustRightInd w:val="0"/>
        <w:jc w:val="both"/>
        <w:outlineLvl w:val="0"/>
      </w:pPr>
    </w:p>
    <w:p w:rsidR="001A6117" w:rsidRPr="00A3147B" w:rsidRDefault="00044067" w:rsidP="001A6117">
      <w:pPr>
        <w:tabs>
          <w:tab w:val="left" w:pos="426"/>
        </w:tabs>
        <w:autoSpaceDE w:val="0"/>
        <w:autoSpaceDN w:val="0"/>
        <w:adjustRightInd w:val="0"/>
        <w:ind w:firstLine="709"/>
        <w:jc w:val="both"/>
        <w:outlineLvl w:val="0"/>
        <w:rPr>
          <w:b/>
        </w:rPr>
      </w:pPr>
      <w:r w:rsidRPr="00A3147B">
        <w:rPr>
          <w:b/>
        </w:rPr>
        <w:t>6</w:t>
      </w:r>
      <w:r w:rsidR="001A6117" w:rsidRPr="00A3147B">
        <w:rPr>
          <w:b/>
        </w:rPr>
        <w:t>. Определение стоимости и сметная документация:</w:t>
      </w:r>
    </w:p>
    <w:p w:rsidR="00694D9D" w:rsidRPr="00694D9D" w:rsidRDefault="00044067" w:rsidP="00694D9D">
      <w:pPr>
        <w:shd w:val="clear" w:color="auto" w:fill="FFFFFF"/>
        <w:ind w:firstLine="567"/>
        <w:jc w:val="both"/>
      </w:pPr>
      <w:r w:rsidRPr="00A3147B">
        <w:t>6</w:t>
      </w:r>
      <w:r w:rsidR="00694D9D">
        <w:t xml:space="preserve">.1. </w:t>
      </w:r>
      <w:proofErr w:type="gramStart"/>
      <w:r w:rsidR="00694D9D">
        <w:t xml:space="preserve">Сметы </w:t>
      </w:r>
      <w:r w:rsidR="00694D9D" w:rsidRPr="00694D9D">
        <w:t>разраб</w:t>
      </w:r>
      <w:r w:rsidR="00694D9D">
        <w:t>о</w:t>
      </w:r>
      <w:r w:rsidR="00694D9D" w:rsidRPr="00694D9D">
        <w:t>т</w:t>
      </w:r>
      <w:r w:rsidR="00694D9D">
        <w:t xml:space="preserve">ать </w:t>
      </w:r>
      <w:r w:rsidR="00694D9D" w:rsidRPr="00694D9D">
        <w:t xml:space="preserve"> </w:t>
      </w:r>
      <w:r w:rsidR="00694D9D">
        <w:t>с использованием</w:t>
      </w:r>
      <w:r w:rsidR="00694D9D" w:rsidRPr="00694D9D">
        <w:t xml:space="preserve"> справочника </w:t>
      </w:r>
      <w:r w:rsidR="0097412A">
        <w:t xml:space="preserve">СБЦ 204, </w:t>
      </w:r>
      <w:r w:rsidR="00694D9D" w:rsidRPr="00694D9D">
        <w:t>СБЦ-2006, ОНЗТ-1996,</w:t>
      </w:r>
      <w:r w:rsidR="00694D9D" w:rsidRPr="00694D9D">
        <w:rPr>
          <w:color w:val="000000"/>
          <w:sz w:val="16"/>
          <w:szCs w:val="16"/>
        </w:rPr>
        <w:t xml:space="preserve"> </w:t>
      </w:r>
      <w:r w:rsidR="00694D9D" w:rsidRPr="00694D9D">
        <w:rPr>
          <w:color w:val="000000"/>
        </w:rPr>
        <w:t xml:space="preserve">письма Федеральной службы земельного кадастра России № НК/25 от  10.01.2003 г., </w:t>
      </w:r>
      <w:r w:rsidR="00694D9D" w:rsidRPr="00694D9D">
        <w:t>приказов Министерства экономического развития РФ № 337 от 11.11.2003, г. № 298 от 09.11.2004 г., № 277 от 27.10.2005 г., № 359 от 03.11.2006 г., № 401 от 19.11.2007 г., № 392 от 12.11.2008 г., № 465 от 13.11.2009 г., № 519 от 27.10.2010 г., № 612 от 01.11.2011</w:t>
      </w:r>
      <w:proofErr w:type="gramEnd"/>
      <w:r w:rsidR="00694D9D" w:rsidRPr="00694D9D">
        <w:t xml:space="preserve"> г., № 707 от 31.10. 2012 г., № 652 от 07.11.2013 г., № 685 от 29.10.2014 г.</w:t>
      </w:r>
    </w:p>
    <w:p w:rsidR="001A6117" w:rsidRPr="00A3147B" w:rsidRDefault="001A6117" w:rsidP="001A6117">
      <w:pPr>
        <w:ind w:firstLine="709"/>
        <w:jc w:val="both"/>
      </w:pPr>
    </w:p>
    <w:p w:rsidR="001A6117" w:rsidRPr="00A3147B" w:rsidRDefault="00044067" w:rsidP="001A6117">
      <w:pPr>
        <w:ind w:firstLine="709"/>
        <w:jc w:val="both"/>
      </w:pPr>
      <w:r w:rsidRPr="00A3147B">
        <w:t>6</w:t>
      </w:r>
      <w:r w:rsidR="001A6117" w:rsidRPr="00A3147B">
        <w:t>.2. Общая стоимость работ формируется на основании локальных смет, рассчитанных по каждому объекту технологического присоединения (нескольким присоединениям). При определении стоимости по двум и более локальным сметным расчетам (локальным сметам) необходимо предоставлять сводный сметный расчет.</w:t>
      </w:r>
    </w:p>
    <w:p w:rsidR="001A6117" w:rsidRPr="00A3147B" w:rsidRDefault="001A6117" w:rsidP="001A6117">
      <w:pPr>
        <w:ind w:firstLine="709"/>
        <w:jc w:val="both"/>
        <w:rPr>
          <w:b/>
        </w:rPr>
      </w:pPr>
    </w:p>
    <w:p w:rsidR="001A6117" w:rsidRPr="00A3147B" w:rsidRDefault="00044067" w:rsidP="001A6117">
      <w:pPr>
        <w:ind w:firstLine="709"/>
        <w:jc w:val="both"/>
        <w:rPr>
          <w:b/>
        </w:rPr>
      </w:pPr>
      <w:r w:rsidRPr="00A3147B">
        <w:rPr>
          <w:b/>
        </w:rPr>
        <w:t>7</w:t>
      </w:r>
      <w:r w:rsidR="001A6117" w:rsidRPr="00A3147B">
        <w:rPr>
          <w:b/>
        </w:rPr>
        <w:t>. Срок выполнения работ:</w:t>
      </w:r>
    </w:p>
    <w:p w:rsidR="001A6117" w:rsidRPr="00A3147B" w:rsidRDefault="001A6117" w:rsidP="001A6117">
      <w:pPr>
        <w:ind w:firstLine="709"/>
        <w:jc w:val="both"/>
      </w:pPr>
      <w:r w:rsidRPr="00A3147B">
        <w:t>Начало работ –  с момента заключения договора подряда</w:t>
      </w:r>
      <w:r w:rsidRPr="00A3147B">
        <w:rPr>
          <w:lang w:eastAsia="en-US"/>
        </w:rPr>
        <w:t>;</w:t>
      </w:r>
    </w:p>
    <w:p w:rsidR="001A6117" w:rsidRPr="00A3147B" w:rsidRDefault="001A6117" w:rsidP="001A6117">
      <w:pPr>
        <w:ind w:firstLine="709"/>
        <w:jc w:val="both"/>
      </w:pPr>
      <w:r w:rsidRPr="00A3147B">
        <w:t>Окончание работ – 25.12.2015 года.</w:t>
      </w:r>
    </w:p>
    <w:p w:rsidR="001A6117" w:rsidRPr="00A3147B" w:rsidRDefault="001A6117" w:rsidP="001A6117">
      <w:pPr>
        <w:ind w:firstLine="709"/>
        <w:jc w:val="both"/>
        <w:rPr>
          <w:b/>
        </w:rPr>
      </w:pPr>
    </w:p>
    <w:p w:rsidR="001A6117" w:rsidRPr="00A3147B" w:rsidRDefault="00044067" w:rsidP="001A6117">
      <w:pPr>
        <w:ind w:firstLine="709"/>
        <w:jc w:val="both"/>
        <w:rPr>
          <w:b/>
        </w:rPr>
      </w:pPr>
      <w:r w:rsidRPr="00A3147B">
        <w:rPr>
          <w:b/>
        </w:rPr>
        <w:t>8</w:t>
      </w:r>
      <w:r w:rsidR="001A6117" w:rsidRPr="00A3147B">
        <w:rPr>
          <w:b/>
        </w:rPr>
        <w:t>. Приёмка выполненных работ и их оплата:</w:t>
      </w:r>
    </w:p>
    <w:p w:rsidR="001A6117" w:rsidRPr="00A3147B" w:rsidRDefault="00044067" w:rsidP="001A6117">
      <w:pPr>
        <w:ind w:firstLine="709"/>
        <w:jc w:val="both"/>
      </w:pPr>
      <w:r w:rsidRPr="00A3147B">
        <w:t>8</w:t>
      </w:r>
      <w:r w:rsidR="001A6117" w:rsidRPr="00A3147B">
        <w:t>.1 Приёмка работ осуществляется в соответствии с актом сдачи-приёмки выполненных работ с приложением к нему комплекта документации, предусмотренной выполнением пунктом 5 настоящего ТЗ.</w:t>
      </w:r>
    </w:p>
    <w:p w:rsidR="001A6117" w:rsidRPr="00A3147B" w:rsidRDefault="00044067" w:rsidP="001A6117">
      <w:pPr>
        <w:ind w:firstLine="709"/>
        <w:jc w:val="both"/>
      </w:pPr>
      <w:r w:rsidRPr="00A3147B">
        <w:t>8</w:t>
      </w:r>
      <w:r w:rsidR="001A6117" w:rsidRPr="00A3147B">
        <w:t xml:space="preserve">.2. Приёмку выполненных работ осуществляет ведущий инженер сектора подготовки строительства и земельных отношений </w:t>
      </w:r>
      <w:proofErr w:type="spellStart"/>
      <w:r w:rsidR="001A6117" w:rsidRPr="00A3147B">
        <w:t>ОКСиИ</w:t>
      </w:r>
      <w:proofErr w:type="spellEnd"/>
      <w:r w:rsidR="001A6117" w:rsidRPr="00A3147B">
        <w:t xml:space="preserve"> филиала АО «ДРСК» «Хабаровские электрические сети» - Сахно Александр Леонидович тел. 59-91-96.</w:t>
      </w:r>
    </w:p>
    <w:p w:rsidR="001A6117" w:rsidRPr="00090476" w:rsidRDefault="00044067" w:rsidP="00090476">
      <w:pPr>
        <w:ind w:firstLine="709"/>
        <w:jc w:val="both"/>
      </w:pPr>
      <w:r w:rsidRPr="00A3147B">
        <w:t>8</w:t>
      </w:r>
      <w:r w:rsidR="001A6117" w:rsidRPr="00A3147B">
        <w:t>.3. Оплата выполненных работ осуществляется в течение 30 (тридцати) календарных дней с момента подписания обеими сторонами акта выполненных работ.</w:t>
      </w:r>
    </w:p>
    <w:p w:rsidR="001A6117" w:rsidRPr="00A3147B" w:rsidRDefault="00044067" w:rsidP="001A6117">
      <w:pPr>
        <w:ind w:firstLine="709"/>
        <w:jc w:val="both"/>
        <w:rPr>
          <w:b/>
        </w:rPr>
      </w:pPr>
      <w:r w:rsidRPr="00A3147B">
        <w:rPr>
          <w:b/>
        </w:rPr>
        <w:t>9</w:t>
      </w:r>
      <w:r w:rsidR="001A6117" w:rsidRPr="00A3147B">
        <w:rPr>
          <w:b/>
        </w:rPr>
        <w:t>. Гарантии исполнителя:</w:t>
      </w:r>
    </w:p>
    <w:p w:rsidR="001A6117" w:rsidRPr="00A3147B" w:rsidRDefault="001A6117" w:rsidP="001A6117">
      <w:pPr>
        <w:ind w:firstLine="709"/>
        <w:jc w:val="both"/>
      </w:pPr>
      <w:r w:rsidRPr="00A3147B">
        <w:t>Гарантия Подрядчика на своевременное и качественное выполнение работ, а также на устранение дефектов, возникших по его вине, составляет не менее 60 месяцев со дня подписания акта сдачи-приёмки.</w:t>
      </w:r>
    </w:p>
    <w:p w:rsidR="001A6117" w:rsidRPr="00A3147B" w:rsidRDefault="001A6117" w:rsidP="001A6117">
      <w:pPr>
        <w:spacing w:line="293" w:lineRule="exact"/>
        <w:ind w:right="459"/>
        <w:jc w:val="both"/>
        <w:rPr>
          <w:rFonts w:eastAsia="Arial Unicode MS"/>
          <w:b/>
          <w:i/>
          <w:spacing w:val="10"/>
        </w:rPr>
      </w:pPr>
      <w:bookmarkStart w:id="0" w:name="_GoBack"/>
      <w:bookmarkEnd w:id="0"/>
    </w:p>
    <w:sectPr w:rsidR="001A6117" w:rsidRPr="00A3147B" w:rsidSect="001A6117"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7365F"/>
    <w:multiLevelType w:val="hybridMultilevel"/>
    <w:tmpl w:val="D83AB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6E07C6"/>
    <w:multiLevelType w:val="multilevel"/>
    <w:tmpl w:val="5908E30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917"/>
    <w:rsid w:val="00044067"/>
    <w:rsid w:val="00074939"/>
    <w:rsid w:val="00090476"/>
    <w:rsid w:val="000E2959"/>
    <w:rsid w:val="001A6117"/>
    <w:rsid w:val="001E5669"/>
    <w:rsid w:val="00234BC0"/>
    <w:rsid w:val="002C3900"/>
    <w:rsid w:val="002E6928"/>
    <w:rsid w:val="00694D9D"/>
    <w:rsid w:val="00700917"/>
    <w:rsid w:val="007C16F7"/>
    <w:rsid w:val="0097412A"/>
    <w:rsid w:val="009F4D7B"/>
    <w:rsid w:val="00A060EA"/>
    <w:rsid w:val="00A3147B"/>
    <w:rsid w:val="00A63074"/>
    <w:rsid w:val="00BC685B"/>
    <w:rsid w:val="00C05475"/>
    <w:rsid w:val="00DD643C"/>
    <w:rsid w:val="00E8461B"/>
    <w:rsid w:val="00E93893"/>
    <w:rsid w:val="00EC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1A611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1A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11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C1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1A611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1A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11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C1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3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Александрович Контюшов</dc:creator>
  <cp:keywords/>
  <dc:description/>
  <cp:lastModifiedBy>Ирдуганова Ирина Николаевна</cp:lastModifiedBy>
  <cp:revision>13</cp:revision>
  <cp:lastPrinted>2015-11-23T03:48:00Z</cp:lastPrinted>
  <dcterms:created xsi:type="dcterms:W3CDTF">2015-10-21T01:22:00Z</dcterms:created>
  <dcterms:modified xsi:type="dcterms:W3CDTF">2015-12-02T07:33:00Z</dcterms:modified>
</cp:coreProperties>
</file>