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выполнить работы по </w:t>
      </w:r>
      <w:r>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9C679C">
        <w:t xml:space="preserve">в </w:t>
      </w:r>
      <w:r w:rsidR="00412473">
        <w:rPr>
          <w:b/>
        </w:rPr>
        <w:t>г. Уссурийск</w:t>
      </w:r>
      <w:r>
        <w:rPr>
          <w:b/>
        </w:rPr>
        <w:t xml:space="preserve"> </w:t>
      </w:r>
      <w:proofErr w:type="gramStart"/>
      <w:r>
        <w:rPr>
          <w:b/>
        </w:rPr>
        <w:t>с</w:t>
      </w:r>
      <w:proofErr w:type="gramEnd"/>
      <w:r>
        <w:rPr>
          <w:b/>
        </w:rPr>
        <w:t xml:space="preserve">. </w:t>
      </w:r>
      <w:proofErr w:type="gramStart"/>
      <w:r w:rsidR="00412473">
        <w:rPr>
          <w:b/>
        </w:rPr>
        <w:t>Воздвиженка</w:t>
      </w:r>
      <w:proofErr w:type="gramEnd"/>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w:t>
      </w:r>
      <w:bookmarkStart w:id="0" w:name="_GoBack"/>
      <w:bookmarkEnd w:id="0"/>
      <w:r w:rsidRPr="006B68B8">
        <w:t>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proofErr w:type="gramStart"/>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w:t>
      </w:r>
      <w:proofErr w:type="gramEnd"/>
      <w:r w:rsidRPr="006B68B8">
        <w:t xml:space="preserve"> </w:t>
      </w:r>
      <w:proofErr w:type="gramStart"/>
      <w:r w:rsidRPr="006B68B8">
        <w:t>конечных</w:t>
      </w:r>
      <w:proofErr w:type="gramEnd"/>
      <w:r w:rsidRPr="006B68B8">
        <w:t>)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t xml:space="preserve">Перед началом работ обеспечить получение в уполномоченных органах </w:t>
      </w:r>
      <w:r w:rsidRPr="006B68B8">
        <w:lastRenderedPageBreak/>
        <w:t>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 xml:space="preserve">возможности неблагоприятных для Заказчика последствий выполнения его указаний о </w:t>
      </w:r>
      <w:r w:rsidR="00880075" w:rsidRPr="006B68B8">
        <w:lastRenderedPageBreak/>
        <w:t>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t xml:space="preserve">До </w:t>
      </w:r>
      <w:r w:rsidR="000008EE" w:rsidRPr="006B68B8">
        <w:rPr>
          <w:bCs/>
        </w:rPr>
        <w:t xml:space="preserve">начала производства работ оформить в установленном порядке разрешения на </w:t>
      </w:r>
      <w:r w:rsidR="000008EE" w:rsidRPr="006B68B8">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6B68B8">
        <w:lastRenderedPageBreak/>
        <w:t>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6B68B8">
        <w:t xml:space="preserve">, при этом данный перерыв в производстве работ не может быть причиной для переноса </w:t>
      </w:r>
      <w:r w:rsidR="000C214C" w:rsidRPr="006B68B8">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 xml:space="preserve">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2473"/>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14096-F716-45DD-B580-0B95C1BBD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24</Pages>
  <Words>8356</Words>
  <Characters>60918</Characters>
  <Application>Microsoft Office Word</Application>
  <DocSecurity>0</DocSecurity>
  <Lines>507</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21</cp:revision>
  <cp:lastPrinted>2013-09-20T03:42:00Z</cp:lastPrinted>
  <dcterms:created xsi:type="dcterms:W3CDTF">2015-09-02T01:29:00Z</dcterms:created>
  <dcterms:modified xsi:type="dcterms:W3CDTF">2015-11-05T03:48:00Z</dcterms:modified>
</cp:coreProperties>
</file>