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976F0">
        <w:rPr>
          <w:rFonts w:cs="Arial"/>
          <w:b/>
          <w:bCs/>
          <w:iCs/>
          <w:snapToGrid/>
          <w:spacing w:val="40"/>
          <w:sz w:val="36"/>
          <w:szCs w:val="36"/>
        </w:rPr>
        <w:t>45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976F0" w:rsidRDefault="00E5315A" w:rsidP="00F976F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F976F0" w:rsidRPr="00B13CF8" w:rsidRDefault="00F976F0" w:rsidP="00F976F0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B13CF8">
        <w:rPr>
          <w:b/>
          <w:i/>
          <w:sz w:val="26"/>
          <w:szCs w:val="26"/>
        </w:rPr>
        <w:t xml:space="preserve">Чистка просеки, валка деревьев </w:t>
      </w:r>
      <w:proofErr w:type="gramStart"/>
      <w:r w:rsidRPr="00B13CF8">
        <w:rPr>
          <w:b/>
          <w:i/>
          <w:sz w:val="26"/>
          <w:szCs w:val="26"/>
        </w:rPr>
        <w:t>ВЛ</w:t>
      </w:r>
      <w:proofErr w:type="gramEnd"/>
      <w:r w:rsidRPr="00B13CF8">
        <w:rPr>
          <w:b/>
          <w:i/>
          <w:sz w:val="26"/>
          <w:szCs w:val="26"/>
        </w:rPr>
        <w:t xml:space="preserve"> 110-10 </w:t>
      </w:r>
      <w:proofErr w:type="spellStart"/>
      <w:r w:rsidRPr="00B13CF8">
        <w:rPr>
          <w:b/>
          <w:i/>
          <w:sz w:val="26"/>
          <w:szCs w:val="26"/>
        </w:rPr>
        <w:t>кВ</w:t>
      </w:r>
      <w:proofErr w:type="spellEnd"/>
      <w:r w:rsidRPr="00B13CF8">
        <w:rPr>
          <w:b/>
          <w:i/>
          <w:sz w:val="26"/>
          <w:szCs w:val="26"/>
        </w:rPr>
        <w:t xml:space="preserve"> ЭС ЕАО</w:t>
      </w:r>
    </w:p>
    <w:p w:rsidR="00F976F0" w:rsidRPr="0099721B" w:rsidRDefault="00F976F0" w:rsidP="00F976F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70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F976F0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1087D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F976F0" w:rsidRDefault="00F976F0" w:rsidP="00F976F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976F0" w:rsidRPr="00B13CF8" w:rsidRDefault="00F976F0" w:rsidP="00F976F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B13CF8">
        <w:rPr>
          <w:bCs/>
          <w:iCs/>
          <w:sz w:val="24"/>
        </w:rPr>
        <w:t xml:space="preserve">Об отклонении заявки участника закупки </w:t>
      </w:r>
      <w:r w:rsidRPr="003D7D50">
        <w:rPr>
          <w:sz w:val="24"/>
        </w:rPr>
        <w:t>ООО "</w:t>
      </w:r>
      <w:proofErr w:type="spellStart"/>
      <w:r w:rsidRPr="003D7D50">
        <w:rPr>
          <w:sz w:val="24"/>
        </w:rPr>
        <w:t>Актис</w:t>
      </w:r>
      <w:proofErr w:type="spellEnd"/>
      <w:r w:rsidRPr="003D7D50">
        <w:rPr>
          <w:sz w:val="24"/>
        </w:rPr>
        <w:t xml:space="preserve"> Капитал" </w:t>
      </w:r>
    </w:p>
    <w:p w:rsidR="00F976F0" w:rsidRPr="00226D52" w:rsidRDefault="00F976F0" w:rsidP="00F976F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976F0" w:rsidRPr="00226D52" w:rsidRDefault="00F976F0" w:rsidP="00F976F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F976F0" w:rsidRPr="00226D52" w:rsidRDefault="00F976F0" w:rsidP="00F976F0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94"/>
      </w:tblGrid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D7D50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D7D50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3D7D50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"МИКСБЕТОН" (680026, Россия, Хабаровский край, г. Хабаровск, ул. Металлистов, д. 19, пом. 2)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Предложение: подано 08.12.2015 в 05:15</w:t>
            </w:r>
            <w:r w:rsidRPr="003D7D50">
              <w:rPr>
                <w:sz w:val="24"/>
                <w:szCs w:val="24"/>
              </w:rPr>
              <w:br/>
              <w:t>Цена: 16 950 000,00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D7D50">
              <w:rPr>
                <w:sz w:val="24"/>
                <w:szCs w:val="24"/>
              </w:rPr>
              <w:t>Забурхановская</w:t>
            </w:r>
            <w:proofErr w:type="spellEnd"/>
            <w:r w:rsidRPr="003D7D50">
              <w:rPr>
                <w:sz w:val="24"/>
                <w:szCs w:val="24"/>
              </w:rPr>
              <w:t>, д. 102, оф. 2, 3)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Предложение, подано 08.12.2015 в 04:45</w:t>
            </w:r>
            <w:r w:rsidRPr="003D7D50">
              <w:rPr>
                <w:sz w:val="24"/>
                <w:szCs w:val="24"/>
              </w:rPr>
              <w:br/>
              <w:t>Цена: 16 976 000,00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D7D50">
              <w:rPr>
                <w:sz w:val="24"/>
                <w:szCs w:val="24"/>
              </w:rPr>
              <w:t>Зея</w:t>
            </w:r>
            <w:proofErr w:type="spellEnd"/>
            <w:r w:rsidRPr="003D7D50">
              <w:rPr>
                <w:sz w:val="24"/>
                <w:szCs w:val="24"/>
              </w:rPr>
              <w:t xml:space="preserve">, </w:t>
            </w:r>
            <w:proofErr w:type="spellStart"/>
            <w:r w:rsidRPr="003D7D50">
              <w:rPr>
                <w:sz w:val="24"/>
                <w:szCs w:val="24"/>
              </w:rPr>
              <w:t>мкр</w:t>
            </w:r>
            <w:proofErr w:type="spellEnd"/>
            <w:r w:rsidRPr="003D7D50">
              <w:rPr>
                <w:sz w:val="24"/>
                <w:szCs w:val="24"/>
              </w:rPr>
              <w:t>.</w:t>
            </w:r>
            <w:proofErr w:type="gramEnd"/>
            <w:r w:rsidRPr="003D7D50">
              <w:rPr>
                <w:sz w:val="24"/>
                <w:szCs w:val="24"/>
              </w:rPr>
              <w:t xml:space="preserve"> </w:t>
            </w:r>
            <w:proofErr w:type="gramStart"/>
            <w:r w:rsidRPr="003D7D50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Предложение: подано 07.12.2015 в 02:46</w:t>
            </w:r>
            <w:r w:rsidRPr="003D7D50">
              <w:rPr>
                <w:sz w:val="24"/>
                <w:szCs w:val="24"/>
              </w:rPr>
              <w:br/>
              <w:t>Цена: 17 500 000,00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"ДОРСТРОЙ ДВ" (679000, Россия, Еврейская автономная обл., г. Биробиджан, ул. Декабристов, д. 14)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Предложение, подано 28.11.2015 в 04:53</w:t>
            </w:r>
            <w:r w:rsidRPr="003D7D50">
              <w:rPr>
                <w:sz w:val="24"/>
                <w:szCs w:val="24"/>
              </w:rPr>
              <w:br/>
              <w:t>Цена: 17 846 728,00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D7D50">
              <w:rPr>
                <w:sz w:val="24"/>
                <w:szCs w:val="24"/>
              </w:rPr>
              <w:t>Биракан</w:t>
            </w:r>
            <w:proofErr w:type="spellEnd"/>
            <w:r w:rsidRPr="003D7D50">
              <w:rPr>
                <w:sz w:val="24"/>
                <w:szCs w:val="24"/>
              </w:rPr>
              <w:t xml:space="preserve">, ул. Октябрьская, </w:t>
            </w:r>
            <w:r w:rsidRPr="003D7D50">
              <w:rPr>
                <w:sz w:val="24"/>
                <w:szCs w:val="24"/>
              </w:rPr>
              <w:lastRenderedPageBreak/>
              <w:t>41)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lastRenderedPageBreak/>
              <w:t>Предложение, подано 08.12.2015 в 02:05</w:t>
            </w:r>
            <w:r w:rsidRPr="003D7D50">
              <w:rPr>
                <w:sz w:val="24"/>
                <w:szCs w:val="24"/>
              </w:rPr>
              <w:br/>
              <w:t>Цена: 17 868 254,25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</w:t>
            </w:r>
            <w:proofErr w:type="spellStart"/>
            <w:r w:rsidRPr="003D7D50">
              <w:rPr>
                <w:sz w:val="24"/>
                <w:szCs w:val="24"/>
              </w:rPr>
              <w:t>Актис</w:t>
            </w:r>
            <w:proofErr w:type="spellEnd"/>
            <w:r w:rsidRPr="003D7D50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3D7D50">
              <w:rPr>
                <w:sz w:val="24"/>
                <w:szCs w:val="24"/>
              </w:rPr>
              <w:t>Волочаевская</w:t>
            </w:r>
            <w:proofErr w:type="spellEnd"/>
            <w:r w:rsidRPr="003D7D50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3D7D50">
              <w:rPr>
                <w:sz w:val="24"/>
                <w:szCs w:val="24"/>
              </w:rPr>
              <w:t>Щ</w:t>
            </w:r>
            <w:proofErr w:type="gramEnd"/>
            <w:r w:rsidRPr="003D7D50">
              <w:rPr>
                <w:sz w:val="24"/>
                <w:szCs w:val="24"/>
              </w:rPr>
              <w:t>, оф. 11)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Предложение: подано 08.12.2015 в 03:51</w:t>
            </w:r>
            <w:r w:rsidRPr="003D7D50">
              <w:rPr>
                <w:sz w:val="24"/>
                <w:szCs w:val="24"/>
              </w:rPr>
              <w:br/>
              <w:t>Цена: 17 869 000,00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3D7D50">
              <w:rPr>
                <w:sz w:val="24"/>
                <w:szCs w:val="24"/>
              </w:rPr>
              <w:t>Биракан</w:t>
            </w:r>
            <w:proofErr w:type="spellEnd"/>
            <w:r w:rsidRPr="003D7D50">
              <w:rPr>
                <w:sz w:val="24"/>
                <w:szCs w:val="24"/>
              </w:rPr>
              <w:t>, ул. Заречная, д. 23)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Предложение: подано 04.12.2015 в 03:40</w:t>
            </w:r>
            <w:r w:rsidRPr="003D7D50">
              <w:rPr>
                <w:sz w:val="24"/>
                <w:szCs w:val="24"/>
              </w:rPr>
              <w:br/>
              <w:t>Цена: 17 869 356,00 руб. (цена без НДС)</w:t>
            </w:r>
          </w:p>
        </w:tc>
      </w:tr>
      <w:tr w:rsidR="00F976F0" w:rsidRPr="003D7D50" w:rsidTr="00E30D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Предложение: подано 08.12.2015 в 03:30</w:t>
            </w:r>
            <w:r w:rsidRPr="003D7D50">
              <w:rPr>
                <w:sz w:val="24"/>
                <w:szCs w:val="24"/>
              </w:rPr>
              <w:br/>
              <w:t>Цена: 17 869 356,00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F976F0" w:rsidRDefault="00F976F0" w:rsidP="00F976F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F976F0" w:rsidRPr="00455714" w:rsidRDefault="00F976F0" w:rsidP="00F976F0">
      <w:pPr>
        <w:pStyle w:val="25"/>
        <w:keepNext/>
        <w:numPr>
          <w:ilvl w:val="0"/>
          <w:numId w:val="45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>
        <w:rPr>
          <w:szCs w:val="24"/>
        </w:rPr>
        <w:t>Отклонить</w:t>
      </w:r>
      <w:r w:rsidRPr="00455714">
        <w:rPr>
          <w:szCs w:val="24"/>
        </w:rPr>
        <w:t xml:space="preserve"> заявку Участника </w:t>
      </w:r>
      <w:r w:rsidRPr="003D7D50">
        <w:rPr>
          <w:szCs w:val="24"/>
        </w:rPr>
        <w:t>ООО "</w:t>
      </w:r>
      <w:proofErr w:type="spellStart"/>
      <w:r w:rsidRPr="003D7D50">
        <w:rPr>
          <w:szCs w:val="24"/>
        </w:rPr>
        <w:t>Актис</w:t>
      </w:r>
      <w:proofErr w:type="spellEnd"/>
      <w:r w:rsidRPr="003D7D50">
        <w:rPr>
          <w:szCs w:val="24"/>
        </w:rPr>
        <w:t xml:space="preserve"> Капитал" (680007, Хабаровский край, г. Хабаровск, ул. </w:t>
      </w:r>
      <w:proofErr w:type="spellStart"/>
      <w:r w:rsidRPr="003D7D50">
        <w:rPr>
          <w:szCs w:val="24"/>
        </w:rPr>
        <w:t>Волочаевская</w:t>
      </w:r>
      <w:proofErr w:type="spellEnd"/>
      <w:r w:rsidRPr="003D7D50">
        <w:rPr>
          <w:szCs w:val="24"/>
        </w:rPr>
        <w:t xml:space="preserve">, д. 8, литер </w:t>
      </w:r>
      <w:proofErr w:type="gramStart"/>
      <w:r w:rsidRPr="003D7D50">
        <w:rPr>
          <w:szCs w:val="24"/>
        </w:rPr>
        <w:t>Щ</w:t>
      </w:r>
      <w:proofErr w:type="gramEnd"/>
      <w:r w:rsidRPr="003D7D50">
        <w:rPr>
          <w:szCs w:val="24"/>
        </w:rPr>
        <w:t>, оф. 11)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>основании пункта в) Документации о закупке как не содержащую документов, требуемых в соответствии с условиями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76F0" w:rsidRPr="008F309A" w:rsidTr="00E30D54">
        <w:tc>
          <w:tcPr>
            <w:tcW w:w="9747" w:type="dxa"/>
            <w:shd w:val="clear" w:color="auto" w:fill="auto"/>
          </w:tcPr>
          <w:p w:rsidR="00F976F0" w:rsidRPr="008E7330" w:rsidRDefault="00F976F0" w:rsidP="00E30D5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76F0" w:rsidRPr="008F309A" w:rsidTr="00E30D54">
        <w:tc>
          <w:tcPr>
            <w:tcW w:w="9747" w:type="dxa"/>
            <w:shd w:val="clear" w:color="auto" w:fill="auto"/>
          </w:tcPr>
          <w:p w:rsidR="00F976F0" w:rsidRPr="0036730B" w:rsidRDefault="00F976F0" w:rsidP="00E30D54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  <w:r w:rsidRPr="00F532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 не поступила</w:t>
            </w:r>
            <w:r w:rsidRPr="00F53298">
              <w:rPr>
                <w:sz w:val="24"/>
                <w:szCs w:val="24"/>
              </w:rPr>
              <w:t xml:space="preserve"> в электронный сейф на ЭТП.</w:t>
            </w:r>
          </w:p>
        </w:tc>
      </w:tr>
    </w:tbl>
    <w:p w:rsidR="00F976F0" w:rsidRDefault="00F976F0" w:rsidP="00F976F0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F976F0" w:rsidRPr="00F943FC" w:rsidRDefault="00F976F0" w:rsidP="00F976F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976F0" w:rsidRPr="00F943FC" w:rsidRDefault="00F976F0" w:rsidP="00F976F0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3D7D50">
        <w:rPr>
          <w:sz w:val="24"/>
          <w:szCs w:val="24"/>
        </w:rPr>
        <w:t>ООО "МИКСБЕТОН" (680026, Россия, Хабаровский край, г. Хабаровск, ул. Металлистов, д. 19, пом. 2)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D7D50">
        <w:rPr>
          <w:sz w:val="24"/>
          <w:szCs w:val="24"/>
        </w:rPr>
        <w:t>Забурхановская</w:t>
      </w:r>
      <w:proofErr w:type="spellEnd"/>
      <w:r w:rsidRPr="003D7D50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3D7D50">
        <w:rPr>
          <w:sz w:val="24"/>
          <w:szCs w:val="24"/>
        </w:rPr>
        <w:t>Зея</w:t>
      </w:r>
      <w:proofErr w:type="spellEnd"/>
      <w:r w:rsidRPr="003D7D50">
        <w:rPr>
          <w:sz w:val="24"/>
          <w:szCs w:val="24"/>
        </w:rPr>
        <w:t xml:space="preserve">, </w:t>
      </w:r>
      <w:proofErr w:type="spellStart"/>
      <w:r w:rsidRPr="003D7D50">
        <w:rPr>
          <w:sz w:val="24"/>
          <w:szCs w:val="24"/>
        </w:rPr>
        <w:t>мкр</w:t>
      </w:r>
      <w:proofErr w:type="spellEnd"/>
      <w:r w:rsidRPr="003D7D50">
        <w:rPr>
          <w:sz w:val="24"/>
          <w:szCs w:val="24"/>
        </w:rPr>
        <w:t xml:space="preserve">. </w:t>
      </w:r>
      <w:proofErr w:type="gramStart"/>
      <w:r w:rsidRPr="003D7D50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>ООО "ДОРСТРОЙ ДВ" (679000, Россия, Еврейская автономная обл., г. Биробиджан, ул. Декабристов, д. 14)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3D7D50">
        <w:rPr>
          <w:sz w:val="24"/>
          <w:szCs w:val="24"/>
        </w:rPr>
        <w:t>Биракан</w:t>
      </w:r>
      <w:proofErr w:type="spellEnd"/>
      <w:r w:rsidRPr="003D7D50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ООО "ЛУЧ" (679135, Россия, Еврейская автономная обл., п. </w:t>
      </w:r>
      <w:proofErr w:type="spellStart"/>
      <w:r w:rsidRPr="003D7D50">
        <w:rPr>
          <w:sz w:val="24"/>
          <w:szCs w:val="24"/>
        </w:rPr>
        <w:t>Биракан</w:t>
      </w:r>
      <w:proofErr w:type="spellEnd"/>
      <w:r w:rsidRPr="003D7D50">
        <w:rPr>
          <w:sz w:val="24"/>
          <w:szCs w:val="24"/>
        </w:rPr>
        <w:t>, ул. Заречная, д. 23)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976F0" w:rsidRPr="00F943FC" w:rsidRDefault="00F976F0" w:rsidP="00F976F0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976F0" w:rsidRPr="00F943FC" w:rsidRDefault="00F976F0" w:rsidP="00F976F0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F976F0" w:rsidRPr="00F943FC" w:rsidRDefault="00F976F0" w:rsidP="00F976F0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заявок </w:t>
      </w:r>
      <w:r w:rsidRPr="00F943FC">
        <w:rPr>
          <w:color w:val="000000" w:themeColor="text1"/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976F0" w:rsidRPr="00A967F1" w:rsidTr="00F976F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F0" w:rsidRPr="00A967F1" w:rsidRDefault="00F976F0" w:rsidP="00E30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F0" w:rsidRPr="00A967F1" w:rsidRDefault="00F976F0" w:rsidP="00E30D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F0" w:rsidRPr="00A967F1" w:rsidRDefault="00F976F0" w:rsidP="00E30D5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F0" w:rsidRPr="00A967F1" w:rsidRDefault="00F976F0" w:rsidP="00E30D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F0" w:rsidRPr="00A967F1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"МИКСБЕТОН" (680026, Россия, Хабаровский край, г. Хабаровск, ул. Металлистов, д. 19, пом.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16 950 000,00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(20 001 000,0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976F0" w:rsidRPr="00F5577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A967F1" w:rsidRDefault="00F976F0" w:rsidP="00E30D5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A967F1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D7D50">
              <w:rPr>
                <w:sz w:val="24"/>
                <w:szCs w:val="24"/>
              </w:rPr>
              <w:t>Забурхановская</w:t>
            </w:r>
            <w:proofErr w:type="spellEnd"/>
            <w:r w:rsidRPr="003D7D50">
              <w:rPr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16 976 000,00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(20 031 680,0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F976F0" w:rsidRPr="00F5577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D7D50">
              <w:rPr>
                <w:sz w:val="24"/>
                <w:szCs w:val="24"/>
              </w:rPr>
              <w:t>Зея</w:t>
            </w:r>
            <w:proofErr w:type="spellEnd"/>
            <w:r w:rsidRPr="003D7D50">
              <w:rPr>
                <w:sz w:val="24"/>
                <w:szCs w:val="24"/>
              </w:rPr>
              <w:t xml:space="preserve">, </w:t>
            </w:r>
            <w:proofErr w:type="spellStart"/>
            <w:r w:rsidRPr="003D7D50">
              <w:rPr>
                <w:sz w:val="24"/>
                <w:szCs w:val="24"/>
              </w:rPr>
              <w:t>мкр</w:t>
            </w:r>
            <w:proofErr w:type="spellEnd"/>
            <w:r w:rsidRPr="003D7D50">
              <w:rPr>
                <w:sz w:val="24"/>
                <w:szCs w:val="24"/>
              </w:rPr>
              <w:t>.</w:t>
            </w:r>
            <w:proofErr w:type="gramEnd"/>
            <w:r w:rsidRPr="003D7D50">
              <w:rPr>
                <w:sz w:val="24"/>
                <w:szCs w:val="24"/>
              </w:rPr>
              <w:t xml:space="preserve"> </w:t>
            </w:r>
            <w:proofErr w:type="gramStart"/>
            <w:r w:rsidRPr="003D7D50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17 500 000,00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(20 650 000,0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F976F0" w:rsidRPr="00F118F2" w:rsidRDefault="00F976F0" w:rsidP="00E30D5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"ДОРСТРОЙ ДВ" (679000, Россия, Еврейская автономная обл., г. Биробиджан, ул. Декабристов, д. 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17 846 728,00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(21 059 139,04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F976F0" w:rsidRPr="00F943FC" w:rsidRDefault="00F976F0" w:rsidP="00E30D5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ЗАО "Просеки Востока" (679135, </w:t>
            </w:r>
            <w:r w:rsidRPr="003D7D50">
              <w:rPr>
                <w:sz w:val="24"/>
                <w:szCs w:val="24"/>
              </w:rPr>
              <w:lastRenderedPageBreak/>
              <w:t xml:space="preserve">Еврейская автономная обл., п. </w:t>
            </w:r>
            <w:proofErr w:type="spellStart"/>
            <w:r w:rsidRPr="003D7D50">
              <w:rPr>
                <w:sz w:val="24"/>
                <w:szCs w:val="24"/>
              </w:rPr>
              <w:t>Биракан</w:t>
            </w:r>
            <w:proofErr w:type="spellEnd"/>
            <w:r w:rsidRPr="003D7D50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lastRenderedPageBreak/>
              <w:t>17 868 254,25</w:t>
            </w:r>
            <w:r w:rsidRPr="003D7D50">
              <w:rPr>
                <w:sz w:val="24"/>
                <w:szCs w:val="24"/>
              </w:rPr>
              <w:t xml:space="preserve"> руб. без </w:t>
            </w:r>
            <w:r w:rsidRPr="003D7D50">
              <w:rPr>
                <w:sz w:val="24"/>
                <w:szCs w:val="24"/>
              </w:rPr>
              <w:lastRenderedPageBreak/>
              <w:t>НДС</w:t>
            </w:r>
            <w:r>
              <w:rPr>
                <w:sz w:val="24"/>
                <w:szCs w:val="24"/>
              </w:rPr>
              <w:t xml:space="preserve">  (21 084 540,02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976F0" w:rsidRPr="00F943FC" w:rsidRDefault="00F976F0" w:rsidP="00E30D5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lastRenderedPageBreak/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3D7D50">
              <w:rPr>
                <w:sz w:val="24"/>
                <w:szCs w:val="24"/>
              </w:rPr>
              <w:t>Биракан</w:t>
            </w:r>
            <w:proofErr w:type="spellEnd"/>
            <w:r w:rsidRPr="003D7D50">
              <w:rPr>
                <w:sz w:val="24"/>
                <w:szCs w:val="24"/>
              </w:rPr>
              <w:t>, ул. Заречная, д.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17 869 356,00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(21 085 840,08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F976F0" w:rsidRPr="00F943FC" w:rsidRDefault="00F976F0" w:rsidP="00E30D5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t>3,0</w:t>
            </w:r>
          </w:p>
        </w:tc>
      </w:tr>
      <w:tr w:rsidR="00F976F0" w:rsidRPr="00A967F1" w:rsidTr="00F976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3D7D5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Pr="00F976F0" w:rsidRDefault="00F976F0" w:rsidP="00E30D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17 869 356,00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(21 085 840,08 руб. с НДС</w:t>
            </w:r>
            <w:r w:rsidRPr="003D7D50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F0" w:rsidRDefault="00F976F0" w:rsidP="00E30D54">
            <w:pPr>
              <w:ind w:firstLine="34"/>
              <w:jc w:val="center"/>
            </w:pPr>
            <w:r w:rsidRPr="00691136">
              <w:rPr>
                <w:b/>
                <w:i/>
                <w:sz w:val="24"/>
              </w:rPr>
              <w:t>3,0</w:t>
            </w:r>
          </w:p>
        </w:tc>
      </w:tr>
    </w:tbl>
    <w:p w:rsidR="00F976F0" w:rsidRPr="00F943FC" w:rsidRDefault="00F976F0" w:rsidP="00F976F0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F976F0" w:rsidRDefault="00F976F0" w:rsidP="00F976F0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F976F0" w:rsidRPr="00F943FC" w:rsidRDefault="00F976F0" w:rsidP="00F976F0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F976F0" w:rsidRPr="0099721B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 xml:space="preserve">Провести переторжку. </w:t>
      </w:r>
    </w:p>
    <w:p w:rsidR="00F976F0" w:rsidRPr="0099721B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>Допустить к участию в переторжке предложения участников</w:t>
      </w:r>
      <w:r>
        <w:rPr>
          <w:sz w:val="24"/>
          <w:szCs w:val="24"/>
        </w:rPr>
        <w:t xml:space="preserve">, заявки которых заняли в предварительной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места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перового по четвертое</w:t>
      </w:r>
      <w:r w:rsidRPr="0099721B">
        <w:rPr>
          <w:sz w:val="24"/>
          <w:szCs w:val="24"/>
        </w:rPr>
        <w:t xml:space="preserve">: </w:t>
      </w:r>
      <w:proofErr w:type="gramStart"/>
      <w:r w:rsidRPr="003D7D50">
        <w:rPr>
          <w:sz w:val="24"/>
          <w:szCs w:val="24"/>
        </w:rPr>
        <w:t>ООО "МИКСБЕТОН" (680026, Россия, Хабаровский край, г. Хабаровск, ул. Металлистов, д. 19, пом. 2)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D7D50">
        <w:rPr>
          <w:sz w:val="24"/>
          <w:szCs w:val="24"/>
        </w:rPr>
        <w:t>Забурхановская</w:t>
      </w:r>
      <w:proofErr w:type="spellEnd"/>
      <w:r w:rsidRPr="003D7D50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3D7D50">
        <w:rPr>
          <w:sz w:val="24"/>
          <w:szCs w:val="24"/>
        </w:rPr>
        <w:t>Зея</w:t>
      </w:r>
      <w:proofErr w:type="spellEnd"/>
      <w:r w:rsidRPr="003D7D50">
        <w:rPr>
          <w:sz w:val="24"/>
          <w:szCs w:val="24"/>
        </w:rPr>
        <w:t xml:space="preserve">, </w:t>
      </w:r>
      <w:proofErr w:type="spellStart"/>
      <w:r w:rsidRPr="003D7D50">
        <w:rPr>
          <w:sz w:val="24"/>
          <w:szCs w:val="24"/>
        </w:rPr>
        <w:t>мкр</w:t>
      </w:r>
      <w:proofErr w:type="spellEnd"/>
      <w:r w:rsidRPr="003D7D50">
        <w:rPr>
          <w:sz w:val="24"/>
          <w:szCs w:val="24"/>
        </w:rPr>
        <w:t>.</w:t>
      </w:r>
      <w:proofErr w:type="gramEnd"/>
      <w:r w:rsidRPr="003D7D50">
        <w:rPr>
          <w:sz w:val="24"/>
          <w:szCs w:val="24"/>
        </w:rPr>
        <w:t xml:space="preserve"> </w:t>
      </w:r>
      <w:proofErr w:type="gramStart"/>
      <w:r w:rsidRPr="003D7D50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3D7D50">
        <w:rPr>
          <w:sz w:val="24"/>
          <w:szCs w:val="24"/>
        </w:rPr>
        <w:t>ООО "ДОРСТРОЙ ДВ" (679000, Россия, Еврейская автономная обл., г. Биробиджан, ул. Декабристов, д. 14)</w:t>
      </w:r>
      <w:r w:rsidRPr="0099721B">
        <w:rPr>
          <w:sz w:val="24"/>
          <w:szCs w:val="24"/>
        </w:rPr>
        <w:t xml:space="preserve">.  </w:t>
      </w:r>
      <w:proofErr w:type="gramEnd"/>
    </w:p>
    <w:p w:rsidR="00F976F0" w:rsidRPr="0099721B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 xml:space="preserve">Определить форму переторжки: </w:t>
      </w:r>
      <w:proofErr w:type="gramStart"/>
      <w:r w:rsidRPr="0099721B">
        <w:rPr>
          <w:sz w:val="24"/>
          <w:szCs w:val="24"/>
        </w:rPr>
        <w:t>заочная</w:t>
      </w:r>
      <w:proofErr w:type="gramEnd"/>
      <w:r w:rsidRPr="0099721B">
        <w:rPr>
          <w:sz w:val="24"/>
          <w:szCs w:val="24"/>
        </w:rPr>
        <w:t>.</w:t>
      </w:r>
    </w:p>
    <w:p w:rsidR="00F976F0" w:rsidRPr="0099721B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 xml:space="preserve">Назначить переторжку на </w:t>
      </w:r>
      <w:r w:rsidR="005D1CC5">
        <w:rPr>
          <w:sz w:val="24"/>
          <w:szCs w:val="24"/>
        </w:rPr>
        <w:t>30</w:t>
      </w:r>
      <w:r w:rsidRPr="0099721B">
        <w:rPr>
          <w:sz w:val="24"/>
          <w:szCs w:val="24"/>
        </w:rPr>
        <w:t>.12.2015 в 1</w:t>
      </w:r>
      <w:r w:rsidR="005D1CC5">
        <w:rPr>
          <w:sz w:val="24"/>
          <w:szCs w:val="24"/>
        </w:rPr>
        <w:t>1</w:t>
      </w:r>
      <w:r w:rsidRPr="0099721B">
        <w:rPr>
          <w:sz w:val="24"/>
          <w:szCs w:val="24"/>
        </w:rPr>
        <w:t>:00 час</w:t>
      </w:r>
      <w:proofErr w:type="gramStart"/>
      <w:r w:rsidRPr="0099721B">
        <w:rPr>
          <w:sz w:val="24"/>
          <w:szCs w:val="24"/>
        </w:rPr>
        <w:t>.</w:t>
      </w:r>
      <w:proofErr w:type="gramEnd"/>
      <w:r w:rsidRPr="0099721B">
        <w:rPr>
          <w:sz w:val="24"/>
          <w:szCs w:val="24"/>
        </w:rPr>
        <w:t xml:space="preserve"> (</w:t>
      </w:r>
      <w:proofErr w:type="gramStart"/>
      <w:r w:rsidRPr="0099721B">
        <w:rPr>
          <w:sz w:val="24"/>
          <w:szCs w:val="24"/>
        </w:rPr>
        <w:t>б</w:t>
      </w:r>
      <w:proofErr w:type="gramEnd"/>
      <w:r w:rsidRPr="0099721B">
        <w:rPr>
          <w:sz w:val="24"/>
          <w:szCs w:val="24"/>
        </w:rPr>
        <w:t>лаговещенского времени).</w:t>
      </w:r>
    </w:p>
    <w:p w:rsidR="00F976F0" w:rsidRPr="0099721B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99721B">
          <w:rPr>
            <w:sz w:val="24"/>
            <w:szCs w:val="24"/>
          </w:rPr>
          <w:t>www.b2b-energo.ru</w:t>
        </w:r>
      </w:hyperlink>
      <w:r w:rsidRPr="0099721B">
        <w:rPr>
          <w:sz w:val="24"/>
          <w:szCs w:val="24"/>
        </w:rPr>
        <w:t xml:space="preserve">  </w:t>
      </w:r>
    </w:p>
    <w:p w:rsidR="00236C58" w:rsidRPr="00F976F0" w:rsidRDefault="00F976F0" w:rsidP="00F976F0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99721B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54" w:rsidRDefault="006D6D54" w:rsidP="00355095">
      <w:pPr>
        <w:spacing w:line="240" w:lineRule="auto"/>
      </w:pPr>
      <w:r>
        <w:separator/>
      </w:r>
    </w:p>
  </w:endnote>
  <w:endnote w:type="continuationSeparator" w:id="0">
    <w:p w:rsidR="006D6D54" w:rsidRDefault="006D6D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08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087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54" w:rsidRDefault="006D6D54" w:rsidP="00355095">
      <w:pPr>
        <w:spacing w:line="240" w:lineRule="auto"/>
      </w:pPr>
      <w:r>
        <w:separator/>
      </w:r>
    </w:p>
  </w:footnote>
  <w:footnote w:type="continuationSeparator" w:id="0">
    <w:p w:rsidR="006D6D54" w:rsidRDefault="006D6D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976F0">
      <w:rPr>
        <w:i/>
        <w:sz w:val="20"/>
      </w:rPr>
      <w:t>70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244E63"/>
    <w:multiLevelType w:val="multilevel"/>
    <w:tmpl w:val="C0CE1E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10"/>
  </w:num>
  <w:num w:numId="5">
    <w:abstractNumId w:val="36"/>
  </w:num>
  <w:num w:numId="6">
    <w:abstractNumId w:val="8"/>
  </w:num>
  <w:num w:numId="7">
    <w:abstractNumId w:val="38"/>
  </w:num>
  <w:num w:numId="8">
    <w:abstractNumId w:val="32"/>
  </w:num>
  <w:num w:numId="9">
    <w:abstractNumId w:val="11"/>
  </w:num>
  <w:num w:numId="10">
    <w:abstractNumId w:val="37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7"/>
  </w:num>
  <w:num w:numId="35">
    <w:abstractNumId w:val="22"/>
  </w:num>
  <w:num w:numId="36">
    <w:abstractNumId w:val="3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2"/>
  </w:num>
  <w:num w:numId="43">
    <w:abstractNumId w:val="5"/>
  </w:num>
  <w:num w:numId="44">
    <w:abstractNumId w:val="34"/>
  </w:num>
  <w:num w:numId="45">
    <w:abstractNumId w:val="2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9D7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CC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501E"/>
    <w:rsid w:val="0067734E"/>
    <w:rsid w:val="00680B61"/>
    <w:rsid w:val="006926AB"/>
    <w:rsid w:val="006B3625"/>
    <w:rsid w:val="006C5591"/>
    <w:rsid w:val="006D6D54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087D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22C6"/>
    <w:rsid w:val="00F55DE2"/>
    <w:rsid w:val="00F6533B"/>
    <w:rsid w:val="00F7012A"/>
    <w:rsid w:val="00F779A3"/>
    <w:rsid w:val="00F96F29"/>
    <w:rsid w:val="00F976F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E4CD-7484-4C28-8A7B-EDEEB98B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2015-12-28T03:00:00Z</cp:lastPrinted>
  <dcterms:created xsi:type="dcterms:W3CDTF">2015-07-29T06:07:00Z</dcterms:created>
  <dcterms:modified xsi:type="dcterms:W3CDTF">2015-12-29T01:42:00Z</dcterms:modified>
</cp:coreProperties>
</file>