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715E">
        <w:rPr>
          <w:rFonts w:cs="Arial"/>
          <w:b/>
          <w:bCs/>
          <w:iCs/>
          <w:snapToGrid/>
          <w:spacing w:val="40"/>
          <w:sz w:val="36"/>
          <w:szCs w:val="36"/>
        </w:rPr>
        <w:t>51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F715E" w:rsidRPr="00294807" w:rsidRDefault="00E5315A" w:rsidP="00EF715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EF715E" w:rsidRPr="00294807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EF715E" w:rsidRPr="00294807">
        <w:rPr>
          <w:b/>
          <w:i/>
          <w:sz w:val="26"/>
          <w:szCs w:val="26"/>
        </w:rPr>
        <w:t>ВЛ</w:t>
      </w:r>
      <w:proofErr w:type="gramEnd"/>
      <w:r w:rsidR="00EF715E" w:rsidRPr="00294807">
        <w:rPr>
          <w:b/>
          <w:i/>
          <w:sz w:val="26"/>
          <w:szCs w:val="26"/>
        </w:rPr>
        <w:t xml:space="preserve"> 110 </w:t>
      </w:r>
      <w:proofErr w:type="spellStart"/>
      <w:r w:rsidR="00EF715E" w:rsidRPr="00294807">
        <w:rPr>
          <w:b/>
          <w:i/>
          <w:sz w:val="26"/>
          <w:szCs w:val="26"/>
        </w:rPr>
        <w:t>кВ</w:t>
      </w:r>
      <w:proofErr w:type="spellEnd"/>
      <w:r w:rsidR="00EF715E" w:rsidRPr="00294807">
        <w:rPr>
          <w:b/>
          <w:i/>
          <w:sz w:val="26"/>
          <w:szCs w:val="26"/>
        </w:rPr>
        <w:t xml:space="preserve"> СП ЦЭС</w:t>
      </w:r>
      <w:r w:rsidR="00EF715E" w:rsidRPr="00294807">
        <w:rPr>
          <w:b/>
          <w:bCs/>
          <w:i/>
          <w:sz w:val="26"/>
          <w:szCs w:val="26"/>
        </w:rPr>
        <w:t xml:space="preserve"> филиала ХЭС</w:t>
      </w:r>
    </w:p>
    <w:p w:rsidR="00EF715E" w:rsidRPr="00294807" w:rsidRDefault="00EF715E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53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C2FEF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65EA1" w:rsidRDefault="00C65EA1" w:rsidP="00C65EA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  <w:bookmarkStart w:id="2" w:name="_GoBack"/>
      <w:bookmarkEnd w:id="2"/>
    </w:p>
    <w:p w:rsidR="00EF715E" w:rsidRDefault="00EF715E" w:rsidP="00EF715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r>
        <w:rPr>
          <w:bCs/>
          <w:iCs/>
          <w:sz w:val="24"/>
        </w:rPr>
        <w:t>Восток-</w:t>
      </w:r>
      <w:proofErr w:type="spellStart"/>
      <w:r>
        <w:rPr>
          <w:bCs/>
          <w:iCs/>
          <w:sz w:val="24"/>
        </w:rPr>
        <w:t>Стройинвест</w:t>
      </w:r>
      <w:proofErr w:type="spellEnd"/>
      <w:r w:rsidRPr="00252540">
        <w:rPr>
          <w:bCs/>
          <w:iCs/>
          <w:sz w:val="24"/>
        </w:rPr>
        <w:t xml:space="preserve">» </w:t>
      </w:r>
    </w:p>
    <w:p w:rsidR="00EF715E" w:rsidRDefault="00EF715E" w:rsidP="00EF715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proofErr w:type="spellStart"/>
      <w:r>
        <w:rPr>
          <w:bCs/>
          <w:iCs/>
          <w:sz w:val="24"/>
        </w:rPr>
        <w:t>СтройАльянс</w:t>
      </w:r>
      <w:proofErr w:type="spellEnd"/>
      <w:r w:rsidRPr="00252540">
        <w:rPr>
          <w:bCs/>
          <w:iCs/>
          <w:sz w:val="24"/>
        </w:rPr>
        <w:t xml:space="preserve">» </w:t>
      </w:r>
    </w:p>
    <w:p w:rsidR="00EF715E" w:rsidRPr="00294807" w:rsidRDefault="00EF715E" w:rsidP="00EF715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proofErr w:type="spellStart"/>
      <w:r w:rsidRPr="00252540">
        <w:rPr>
          <w:bCs/>
          <w:iCs/>
          <w:sz w:val="24"/>
        </w:rPr>
        <w:t>Энергострой</w:t>
      </w:r>
      <w:proofErr w:type="spellEnd"/>
      <w:r w:rsidRPr="00252540">
        <w:rPr>
          <w:bCs/>
          <w:iCs/>
          <w:sz w:val="24"/>
        </w:rPr>
        <w:t xml:space="preserve">» </w:t>
      </w:r>
    </w:p>
    <w:p w:rsidR="00EF715E" w:rsidRPr="00226D52" w:rsidRDefault="00EF715E" w:rsidP="00EF715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EF715E" w:rsidRPr="00226D52" w:rsidRDefault="00EF715E" w:rsidP="00EF715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EF715E" w:rsidRPr="00226D52" w:rsidRDefault="00EF715E" w:rsidP="00EF715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10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462"/>
        <w:gridCol w:w="5217"/>
      </w:tblGrid>
      <w:tr w:rsidR="00EF715E" w:rsidRPr="00F55770" w:rsidTr="00EF7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55770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5577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55770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F715E" w:rsidRPr="00F55770" w:rsidTr="00EF7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Предложение, подано 03.12.2015 в 04:01</w:t>
            </w:r>
            <w:r w:rsidRPr="00F55770">
              <w:rPr>
                <w:snapToGrid/>
                <w:sz w:val="24"/>
                <w:szCs w:val="24"/>
              </w:rPr>
              <w:br/>
              <w:t>Цена: 6 500 000,00 руб. (НДС не облагается)</w:t>
            </w:r>
          </w:p>
        </w:tc>
      </w:tr>
      <w:tr w:rsidR="00EF715E" w:rsidRPr="00F55770" w:rsidTr="00EF7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557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5577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F5577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Предложение, подано 03.12.2015 в 04:16</w:t>
            </w:r>
            <w:r w:rsidRPr="00F55770">
              <w:rPr>
                <w:snapToGrid/>
                <w:sz w:val="24"/>
                <w:szCs w:val="24"/>
              </w:rPr>
              <w:br/>
              <w:t>Цена: 8 300 000,00 руб. (цена без НДС)</w:t>
            </w:r>
          </w:p>
        </w:tc>
      </w:tr>
      <w:tr w:rsidR="00EF715E" w:rsidRPr="00F55770" w:rsidTr="00EF7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55770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F55770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55770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F55770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F55770">
              <w:rPr>
                <w:snapToGrid/>
                <w:sz w:val="24"/>
                <w:szCs w:val="24"/>
              </w:rPr>
              <w:t>Щ</w:t>
            </w:r>
            <w:proofErr w:type="gramEnd"/>
            <w:r w:rsidRPr="00F55770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Предложение: подано 03.12.2015 в 04:14</w:t>
            </w:r>
            <w:r w:rsidRPr="00F55770">
              <w:rPr>
                <w:snapToGrid/>
                <w:sz w:val="24"/>
                <w:szCs w:val="24"/>
              </w:rPr>
              <w:br/>
              <w:t>Цена: 8 500 000,00 руб. (цена без НДС)</w:t>
            </w:r>
          </w:p>
        </w:tc>
      </w:tr>
      <w:tr w:rsidR="00EF715E" w:rsidRPr="00F55770" w:rsidTr="00EF7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Предложение, подано 03.12.2015 в 04:33</w:t>
            </w:r>
            <w:r w:rsidRPr="00F55770">
              <w:rPr>
                <w:snapToGrid/>
                <w:sz w:val="24"/>
                <w:szCs w:val="24"/>
              </w:rPr>
              <w:br/>
              <w:t>Цена: 8 500 000,00 руб. (цена без НДС)</w:t>
            </w:r>
          </w:p>
        </w:tc>
      </w:tr>
      <w:tr w:rsidR="00EF715E" w:rsidRPr="00F55770" w:rsidTr="00EF7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55770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F55770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F55770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F55770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Предложение: подано 03.12.2015 в 02:48</w:t>
            </w:r>
            <w:r w:rsidRPr="00F55770">
              <w:rPr>
                <w:snapToGrid/>
                <w:sz w:val="24"/>
                <w:szCs w:val="24"/>
              </w:rPr>
              <w:br/>
              <w:t>Цена: 9 381 836,00 руб. (цена без НДС)</w:t>
            </w:r>
          </w:p>
        </w:tc>
      </w:tr>
      <w:tr w:rsidR="00EF715E" w:rsidRPr="00F55770" w:rsidTr="00EF71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715E" w:rsidRPr="00F55770" w:rsidRDefault="00EF715E" w:rsidP="004E28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Предложение: подано 02.12.2015 в 14:39</w:t>
            </w:r>
            <w:r w:rsidRPr="00F55770">
              <w:rPr>
                <w:snapToGrid/>
                <w:sz w:val="24"/>
                <w:szCs w:val="24"/>
              </w:rPr>
              <w:br/>
              <w:t>Цена: 9 407 192,00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65EA1" w:rsidRDefault="00C65EA1" w:rsidP="00C65EA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65EA1" w:rsidRPr="00455714" w:rsidRDefault="00C65EA1" w:rsidP="00C65EA1">
      <w:pPr>
        <w:pStyle w:val="25"/>
        <w:keepNext/>
        <w:numPr>
          <w:ilvl w:val="1"/>
          <w:numId w:val="40"/>
        </w:numPr>
        <w:tabs>
          <w:tab w:val="left" w:pos="426"/>
          <w:tab w:val="left" w:pos="851"/>
        </w:tabs>
        <w:rPr>
          <w:szCs w:val="24"/>
        </w:rPr>
      </w:pPr>
      <w:proofErr w:type="gramStart"/>
      <w:r w:rsidRPr="00F943FC">
        <w:rPr>
          <w:szCs w:val="24"/>
        </w:rPr>
        <w:t xml:space="preserve">Отклонить заявку Участника </w:t>
      </w:r>
      <w:r w:rsidRPr="00F55770">
        <w:rPr>
          <w:szCs w:val="24"/>
        </w:rPr>
        <w:t>ООО "ВОСТОК-СТРОЙИНВЕСТ" (675000, Россия, Амурская обл., г. Благовещенск, ул. 50 лет Октября, д. 13/1, оф. 507)</w:t>
      </w:r>
      <w:r>
        <w:rPr>
          <w:szCs w:val="24"/>
        </w:rPr>
        <w:t xml:space="preserve"> </w:t>
      </w:r>
      <w:r w:rsidRPr="00F943FC">
        <w:rPr>
          <w:szCs w:val="24"/>
        </w:rPr>
        <w:t xml:space="preserve">от дальнейшего рассмотрения, </w:t>
      </w:r>
      <w:r w:rsidRPr="00455714">
        <w:rPr>
          <w:szCs w:val="24"/>
        </w:rPr>
        <w:t xml:space="preserve">на </w:t>
      </w:r>
      <w:r>
        <w:rPr>
          <w:szCs w:val="24"/>
        </w:rPr>
        <w:t>основании пункта б) Документации о закупке как несоответствующую пункту 2.6.1.4</w:t>
      </w:r>
      <w:r w:rsidRPr="006325DD">
        <w:rPr>
          <w:szCs w:val="24"/>
        </w:rPr>
        <w:t xml:space="preserve"> </w:t>
      </w:r>
      <w:r>
        <w:rPr>
          <w:szCs w:val="24"/>
        </w:rPr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закупке, в котором установлено требование о том, что итоговая стоимость заявки в сканированных документах указывается в строгом соответствии с последним по времени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8E7330" w:rsidRDefault="00C65EA1" w:rsidP="008967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36730B" w:rsidRDefault="00C65EA1" w:rsidP="00896725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заявки участника не соответствует последней ставке,  объявленной участником  в Системе </w:t>
            </w:r>
            <w:r>
              <w:rPr>
                <w:sz w:val="24"/>
                <w:szCs w:val="24"/>
                <w:lang w:val="en-US"/>
              </w:rPr>
              <w:t>b</w:t>
            </w:r>
            <w:r w:rsidRPr="002919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 w:rsidRPr="0029192B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energo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65EA1" w:rsidRDefault="00C65EA1" w:rsidP="00C65EA1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C65EA1" w:rsidRDefault="00C65EA1" w:rsidP="00C65EA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65EA1" w:rsidRPr="008E7330" w:rsidRDefault="00C65EA1" w:rsidP="00C65EA1">
      <w:pPr>
        <w:pStyle w:val="25"/>
        <w:keepNext/>
        <w:numPr>
          <w:ilvl w:val="1"/>
          <w:numId w:val="41"/>
        </w:numPr>
        <w:tabs>
          <w:tab w:val="left" w:pos="284"/>
          <w:tab w:val="left" w:pos="426"/>
        </w:tabs>
        <w:ind w:left="426"/>
        <w:rPr>
          <w:szCs w:val="24"/>
        </w:rPr>
      </w:pPr>
      <w:r w:rsidRPr="008E7330">
        <w:rPr>
          <w:szCs w:val="24"/>
        </w:rPr>
        <w:t>Отклонить заявку Участника ООО "</w:t>
      </w:r>
      <w:proofErr w:type="spellStart"/>
      <w:r w:rsidRPr="008E7330">
        <w:rPr>
          <w:szCs w:val="24"/>
        </w:rPr>
        <w:t>СтройАльянс</w:t>
      </w:r>
      <w:proofErr w:type="spellEnd"/>
      <w:r w:rsidRPr="008E7330">
        <w:rPr>
          <w:szCs w:val="24"/>
        </w:rPr>
        <w:t>" (675000, Россия, Амурская обл., г. Благовещенск, ул. Ленина, д. 196, корп. А, оф. 17) от дальнейшего рассмотрения на основании пункта 2.8.2.5 подпункт а) Документации о закупке как поданное Участником, не отвечающим требованиям пункта 2.5.1.1. подпункт б) Документации о закупке – отсутствие кризисного финансового состояния.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8E7330" w:rsidRDefault="00C65EA1" w:rsidP="008967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36730B" w:rsidRDefault="00C65EA1" w:rsidP="00896725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 имеет кризисное финансовое состояние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разделом 6 Методики оценки деловой репутации и финансового состояния  участников закупочных процедур АО «ДРСК»</w:t>
            </w:r>
          </w:p>
        </w:tc>
      </w:tr>
    </w:tbl>
    <w:p w:rsidR="00C65EA1" w:rsidRDefault="00C65EA1" w:rsidP="00C65EA1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C65EA1" w:rsidRDefault="00C65EA1" w:rsidP="00C65EA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65EA1" w:rsidRPr="004B10A1" w:rsidRDefault="00C65EA1" w:rsidP="00C65EA1">
      <w:pPr>
        <w:pStyle w:val="25"/>
        <w:keepNext/>
        <w:numPr>
          <w:ilvl w:val="1"/>
          <w:numId w:val="42"/>
        </w:numPr>
        <w:tabs>
          <w:tab w:val="left" w:pos="284"/>
          <w:tab w:val="left" w:pos="426"/>
        </w:tabs>
        <w:rPr>
          <w:szCs w:val="24"/>
        </w:rPr>
      </w:pPr>
      <w:proofErr w:type="gramStart"/>
      <w:r w:rsidRPr="004B10A1">
        <w:rPr>
          <w:szCs w:val="24"/>
        </w:rPr>
        <w:t>Отклонить заявку Участника ООО "</w:t>
      </w:r>
      <w:proofErr w:type="spellStart"/>
      <w:r w:rsidRPr="004B10A1">
        <w:rPr>
          <w:szCs w:val="24"/>
        </w:rPr>
        <w:t>Энергострой</w:t>
      </w:r>
      <w:proofErr w:type="spellEnd"/>
      <w:r w:rsidRPr="004B10A1">
        <w:rPr>
          <w:szCs w:val="24"/>
        </w:rPr>
        <w:t>" (680033, Хабаровский край, г. Хабаровск, ул. Тихоокеанская, д. 204, корп. 1, офис 21)  от дальнейшего рассмотрения на основании пункта 2.8.2.5 подпункт б) Документации о закупке как несоответствующую пункту 4.</w:t>
      </w:r>
      <w:r>
        <w:rPr>
          <w:szCs w:val="24"/>
        </w:rPr>
        <w:t>2</w:t>
      </w:r>
      <w:r w:rsidRPr="004B10A1">
        <w:rPr>
          <w:szCs w:val="24"/>
        </w:rPr>
        <w:t>.15 Документации о закупке</w:t>
      </w:r>
      <w:r>
        <w:rPr>
          <w:szCs w:val="24"/>
        </w:rPr>
        <w:t>,</w:t>
      </w:r>
      <w:r w:rsidRPr="006424A5">
        <w:rPr>
          <w:szCs w:val="24"/>
        </w:rPr>
        <w:t xml:space="preserve"> </w:t>
      </w:r>
      <w:r w:rsidRPr="0008680C">
        <w:rPr>
          <w:szCs w:val="24"/>
        </w:rPr>
        <w:t>в котором установленный срок действия заявки составляет не менее 90 календарных дней со дня, следующего за днем проведения процедуры вскрытия конвертов.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8E7330" w:rsidRDefault="00C65EA1" w:rsidP="008967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36730B" w:rsidRDefault="00C65EA1" w:rsidP="00896725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08680C">
              <w:rPr>
                <w:sz w:val="24"/>
                <w:szCs w:val="24"/>
              </w:rPr>
              <w:t>Срок действия офе</w:t>
            </w:r>
            <w:r>
              <w:rPr>
                <w:sz w:val="24"/>
                <w:szCs w:val="24"/>
              </w:rPr>
              <w:t>рты Участника до 03.12.2015 г.</w:t>
            </w:r>
          </w:p>
        </w:tc>
      </w:tr>
    </w:tbl>
    <w:p w:rsidR="00C65EA1" w:rsidRDefault="00C65EA1" w:rsidP="00C65EA1">
      <w:pPr>
        <w:pStyle w:val="25"/>
        <w:keepNext/>
        <w:tabs>
          <w:tab w:val="left" w:pos="284"/>
          <w:tab w:val="left" w:pos="426"/>
        </w:tabs>
        <w:ind w:left="360" w:firstLine="0"/>
        <w:rPr>
          <w:szCs w:val="24"/>
        </w:rPr>
      </w:pPr>
    </w:p>
    <w:p w:rsidR="00C65EA1" w:rsidRPr="008E7330" w:rsidRDefault="00C65EA1" w:rsidP="00C65EA1">
      <w:pPr>
        <w:pStyle w:val="25"/>
        <w:keepNext/>
        <w:numPr>
          <w:ilvl w:val="1"/>
          <w:numId w:val="42"/>
        </w:numPr>
        <w:tabs>
          <w:tab w:val="left" w:pos="284"/>
          <w:tab w:val="left" w:pos="426"/>
        </w:tabs>
        <w:rPr>
          <w:szCs w:val="24"/>
        </w:rPr>
      </w:pPr>
      <w:r w:rsidRPr="004B10A1">
        <w:rPr>
          <w:szCs w:val="24"/>
        </w:rPr>
        <w:t>Отклонить заявку Участника ООО "</w:t>
      </w:r>
      <w:proofErr w:type="spellStart"/>
      <w:r w:rsidRPr="004B10A1">
        <w:rPr>
          <w:szCs w:val="24"/>
        </w:rPr>
        <w:t>Энергострой</w:t>
      </w:r>
      <w:proofErr w:type="spellEnd"/>
      <w:r w:rsidRPr="004B10A1">
        <w:rPr>
          <w:szCs w:val="24"/>
        </w:rPr>
        <w:t xml:space="preserve">" (680033, Хабаровский край, г. Хабаровск, ул. </w:t>
      </w:r>
      <w:proofErr w:type="gramStart"/>
      <w:r w:rsidRPr="004B10A1">
        <w:rPr>
          <w:szCs w:val="24"/>
        </w:rPr>
        <w:t>Тихоокеанская</w:t>
      </w:r>
      <w:proofErr w:type="gramEnd"/>
      <w:r w:rsidRPr="004B10A1">
        <w:rPr>
          <w:szCs w:val="24"/>
        </w:rPr>
        <w:t xml:space="preserve">, д. 204, корп. 1, офис 21)  </w:t>
      </w:r>
      <w:r w:rsidRPr="008E7330">
        <w:rPr>
          <w:szCs w:val="24"/>
        </w:rPr>
        <w:t>от дальнейшего рассмотрения на основании пункта 2.8.2.5 подпункт а) Документации о закупке как поданное Участником, не отвечающим требованиям пункта 2.5.1.1. подпункт б) Документации о закупке – отсутствие кризисного финансового состояния.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8E7330" w:rsidRDefault="00C65EA1" w:rsidP="008967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65EA1" w:rsidRPr="008F309A" w:rsidTr="00896725">
        <w:tc>
          <w:tcPr>
            <w:tcW w:w="9747" w:type="dxa"/>
            <w:shd w:val="clear" w:color="auto" w:fill="auto"/>
          </w:tcPr>
          <w:p w:rsidR="00C65EA1" w:rsidRPr="0036730B" w:rsidRDefault="00C65EA1" w:rsidP="00896725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 имеет кризисное финансовое состояние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разделом 6 Методики оценки деловой репутации и финансового состояния  участников закупочных процедур АО «ДРСК»</w:t>
            </w:r>
          </w:p>
        </w:tc>
      </w:tr>
    </w:tbl>
    <w:p w:rsidR="00C65EA1" w:rsidRPr="00F943FC" w:rsidRDefault="00C65EA1" w:rsidP="00C65EA1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C65EA1" w:rsidRPr="00F943FC" w:rsidRDefault="00C65EA1" w:rsidP="00C65EA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C65EA1" w:rsidRPr="00F943FC" w:rsidRDefault="00C65EA1" w:rsidP="00C6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5.1 </w:t>
      </w: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55770">
        <w:rPr>
          <w:sz w:val="24"/>
          <w:szCs w:val="24"/>
        </w:rPr>
        <w:t>ООО "</w:t>
      </w:r>
      <w:proofErr w:type="spellStart"/>
      <w:r w:rsidRPr="00F55770">
        <w:rPr>
          <w:sz w:val="24"/>
          <w:szCs w:val="24"/>
        </w:rPr>
        <w:t>Актис</w:t>
      </w:r>
      <w:proofErr w:type="spellEnd"/>
      <w:r w:rsidRPr="00F55770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F55770">
        <w:rPr>
          <w:sz w:val="24"/>
          <w:szCs w:val="24"/>
        </w:rPr>
        <w:t>Волочаевская</w:t>
      </w:r>
      <w:proofErr w:type="spellEnd"/>
      <w:r w:rsidRPr="00F55770">
        <w:rPr>
          <w:sz w:val="24"/>
          <w:szCs w:val="24"/>
        </w:rPr>
        <w:t xml:space="preserve">, д. 8, литер </w:t>
      </w:r>
      <w:proofErr w:type="gramStart"/>
      <w:r w:rsidRPr="00F55770">
        <w:rPr>
          <w:sz w:val="24"/>
          <w:szCs w:val="24"/>
        </w:rPr>
        <w:t>Щ</w:t>
      </w:r>
      <w:proofErr w:type="gramEnd"/>
      <w:r w:rsidRPr="00F55770">
        <w:rPr>
          <w:sz w:val="24"/>
          <w:szCs w:val="24"/>
        </w:rPr>
        <w:t>, оф. 11)</w:t>
      </w:r>
      <w:r>
        <w:rPr>
          <w:sz w:val="24"/>
          <w:szCs w:val="24"/>
        </w:rPr>
        <w:t xml:space="preserve">, </w:t>
      </w:r>
      <w:r w:rsidRPr="00F55770">
        <w:rPr>
          <w:sz w:val="24"/>
          <w:szCs w:val="24"/>
        </w:rPr>
        <w:t xml:space="preserve">АО «ВСЭСС» (Россия, г. Хабаровск, ул. Тихоокеанская, </w:t>
      </w:r>
      <w:r w:rsidRPr="00F55770">
        <w:rPr>
          <w:sz w:val="24"/>
          <w:szCs w:val="24"/>
        </w:rPr>
        <w:lastRenderedPageBreak/>
        <w:t>165, 680042)</w:t>
      </w:r>
      <w:r>
        <w:rPr>
          <w:sz w:val="24"/>
          <w:szCs w:val="24"/>
        </w:rPr>
        <w:t xml:space="preserve">, </w:t>
      </w:r>
      <w:r w:rsidRPr="00F55770">
        <w:rPr>
          <w:sz w:val="24"/>
          <w:szCs w:val="24"/>
        </w:rPr>
        <w:t>ООО "ГОРТРАНС" (680014, Россия, г. Хабаровск, квартал ДОС, д. 4/16)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65EA1" w:rsidRPr="00F943FC" w:rsidRDefault="00C65EA1" w:rsidP="00C6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65EA1" w:rsidRPr="00F943FC" w:rsidRDefault="00C65EA1" w:rsidP="00C65EA1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C65EA1" w:rsidRPr="00F943FC" w:rsidRDefault="00C65EA1" w:rsidP="00C65EA1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C65EA1" w:rsidRPr="00A967F1" w:rsidTr="0089672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A1" w:rsidRPr="00A967F1" w:rsidRDefault="00C65EA1" w:rsidP="008967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A1" w:rsidRPr="00A967F1" w:rsidRDefault="00C65EA1" w:rsidP="008967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A1" w:rsidRPr="00A967F1" w:rsidRDefault="00C65EA1" w:rsidP="0089672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A1" w:rsidRPr="00A967F1" w:rsidRDefault="00C65EA1" w:rsidP="0089672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65EA1" w:rsidRPr="00A967F1" w:rsidTr="00896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A1" w:rsidRPr="00A967F1" w:rsidRDefault="00C65EA1" w:rsidP="008967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F55770" w:rsidRDefault="00C65EA1" w:rsidP="00896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</w:t>
            </w:r>
            <w:proofErr w:type="spellStart"/>
            <w:r w:rsidRPr="00F55770">
              <w:rPr>
                <w:sz w:val="24"/>
                <w:szCs w:val="24"/>
              </w:rPr>
              <w:t>Актис</w:t>
            </w:r>
            <w:proofErr w:type="spellEnd"/>
            <w:r w:rsidRPr="00F55770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55770">
              <w:rPr>
                <w:sz w:val="24"/>
                <w:szCs w:val="24"/>
              </w:rPr>
              <w:t>Волочаевская</w:t>
            </w:r>
            <w:proofErr w:type="spellEnd"/>
            <w:r w:rsidRPr="00F55770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55770">
              <w:rPr>
                <w:sz w:val="24"/>
                <w:szCs w:val="24"/>
              </w:rPr>
              <w:t>Щ</w:t>
            </w:r>
            <w:proofErr w:type="gramEnd"/>
            <w:r w:rsidRPr="00F55770">
              <w:rPr>
                <w:sz w:val="24"/>
                <w:szCs w:val="24"/>
              </w:rPr>
              <w:t>, оф.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F55770" w:rsidRDefault="00C65EA1" w:rsidP="00896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A967F1" w:rsidRDefault="00C65EA1" w:rsidP="00896725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C65EA1" w:rsidRPr="00A967F1" w:rsidTr="00896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A967F1" w:rsidRDefault="00C65EA1" w:rsidP="008967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F55770" w:rsidRDefault="00C65EA1" w:rsidP="00896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F55770" w:rsidRDefault="00C65EA1" w:rsidP="00896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Default="00C65EA1" w:rsidP="00896725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  <w:tr w:rsidR="00C65EA1" w:rsidRPr="00A967F1" w:rsidTr="00896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Default="00C65EA1" w:rsidP="008967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F8437D" w:rsidRDefault="00C65EA1" w:rsidP="008967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Pr="00F118F2" w:rsidRDefault="00C65EA1" w:rsidP="008967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9 407 192,00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(11 100 486,56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A1" w:rsidRDefault="00C65EA1" w:rsidP="00896725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</w:tbl>
    <w:p w:rsidR="00C65EA1" w:rsidRPr="00F943FC" w:rsidRDefault="00C65EA1" w:rsidP="00C65EA1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C65EA1" w:rsidRPr="00F943FC" w:rsidRDefault="00C65EA1" w:rsidP="00C65EA1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C65EA1" w:rsidRPr="00F943FC" w:rsidRDefault="00C65EA1" w:rsidP="00C65EA1">
      <w:pPr>
        <w:pStyle w:val="a9"/>
        <w:numPr>
          <w:ilvl w:val="1"/>
          <w:numId w:val="44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C65EA1" w:rsidRPr="00F943FC" w:rsidRDefault="00C65EA1" w:rsidP="00C65EA1">
      <w:pPr>
        <w:pStyle w:val="a9"/>
        <w:numPr>
          <w:ilvl w:val="1"/>
          <w:numId w:val="44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C65EA1">
        <w:rPr>
          <w:color w:val="000000" w:themeColor="text1"/>
          <w:sz w:val="24"/>
          <w:szCs w:val="24"/>
        </w:rPr>
        <w:t>ООО "</w:t>
      </w:r>
      <w:proofErr w:type="spellStart"/>
      <w:r w:rsidRPr="00C65EA1">
        <w:rPr>
          <w:color w:val="000000" w:themeColor="text1"/>
          <w:sz w:val="24"/>
          <w:szCs w:val="24"/>
        </w:rPr>
        <w:t>Актис</w:t>
      </w:r>
      <w:proofErr w:type="spellEnd"/>
      <w:r w:rsidRPr="00C65EA1">
        <w:rPr>
          <w:color w:val="000000" w:themeColor="text1"/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C65EA1">
        <w:rPr>
          <w:color w:val="000000" w:themeColor="text1"/>
          <w:sz w:val="24"/>
          <w:szCs w:val="24"/>
        </w:rPr>
        <w:t>Волочаевская</w:t>
      </w:r>
      <w:proofErr w:type="spellEnd"/>
      <w:r w:rsidRPr="00C65EA1">
        <w:rPr>
          <w:color w:val="000000" w:themeColor="text1"/>
          <w:sz w:val="24"/>
          <w:szCs w:val="24"/>
        </w:rPr>
        <w:t xml:space="preserve">, д. 8, литер </w:t>
      </w:r>
      <w:proofErr w:type="gramStart"/>
      <w:r w:rsidRPr="00C65EA1">
        <w:rPr>
          <w:color w:val="000000" w:themeColor="text1"/>
          <w:sz w:val="24"/>
          <w:szCs w:val="24"/>
        </w:rPr>
        <w:t>Щ</w:t>
      </w:r>
      <w:proofErr w:type="gramEnd"/>
      <w:r w:rsidRPr="00C65EA1">
        <w:rPr>
          <w:color w:val="000000" w:themeColor="text1"/>
          <w:sz w:val="24"/>
          <w:szCs w:val="24"/>
        </w:rPr>
        <w:t>, оф. 11), АО «ВСЭСС» (Россия, г. Хабаровск, ул. Тихоокеанская, 165, 680042), ООО "ГОРТРАНС" (680014, Россия, г. Хабаровск, квартал ДОС, д. 4/16)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C65EA1" w:rsidRPr="00F943FC" w:rsidRDefault="00C65EA1" w:rsidP="00C65EA1">
      <w:pPr>
        <w:pStyle w:val="a9"/>
        <w:numPr>
          <w:ilvl w:val="1"/>
          <w:numId w:val="44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C65EA1" w:rsidRPr="00F943FC" w:rsidRDefault="00C65EA1" w:rsidP="00C65EA1">
      <w:pPr>
        <w:pStyle w:val="a9"/>
        <w:numPr>
          <w:ilvl w:val="1"/>
          <w:numId w:val="44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23</w:t>
      </w:r>
      <w:r w:rsidR="005E253E">
        <w:rPr>
          <w:color w:val="000000" w:themeColor="text1"/>
          <w:sz w:val="24"/>
          <w:szCs w:val="24"/>
        </w:rPr>
        <w:t>.12</w:t>
      </w:r>
      <w:r w:rsidRPr="00F943FC">
        <w:rPr>
          <w:color w:val="000000" w:themeColor="text1"/>
          <w:sz w:val="24"/>
          <w:szCs w:val="24"/>
        </w:rPr>
        <w:t>.2015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C65EA1" w:rsidRPr="00F943FC" w:rsidRDefault="00C65EA1" w:rsidP="00C65EA1">
      <w:pPr>
        <w:pStyle w:val="a9"/>
        <w:numPr>
          <w:ilvl w:val="1"/>
          <w:numId w:val="44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C65EA1" w:rsidRPr="00F943FC" w:rsidRDefault="00C65EA1" w:rsidP="00C65EA1">
      <w:pPr>
        <w:pStyle w:val="a9"/>
        <w:numPr>
          <w:ilvl w:val="1"/>
          <w:numId w:val="44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B0" w:rsidRDefault="00105BB0" w:rsidP="00355095">
      <w:pPr>
        <w:spacing w:line="240" w:lineRule="auto"/>
      </w:pPr>
      <w:r>
        <w:separator/>
      </w:r>
    </w:p>
  </w:endnote>
  <w:endnote w:type="continuationSeparator" w:id="0">
    <w:p w:rsidR="00105BB0" w:rsidRDefault="00105B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FE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FE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B0" w:rsidRDefault="00105BB0" w:rsidP="00355095">
      <w:pPr>
        <w:spacing w:line="240" w:lineRule="auto"/>
      </w:pPr>
      <w:r>
        <w:separator/>
      </w:r>
    </w:p>
  </w:footnote>
  <w:footnote w:type="continuationSeparator" w:id="0">
    <w:p w:rsidR="00105BB0" w:rsidRDefault="00105B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F715E">
      <w:rPr>
        <w:i/>
        <w:sz w:val="20"/>
      </w:rPr>
      <w:t xml:space="preserve">53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9"/>
  </w:num>
  <w:num w:numId="5">
    <w:abstractNumId w:val="34"/>
  </w:num>
  <w:num w:numId="6">
    <w:abstractNumId w:val="7"/>
  </w:num>
  <w:num w:numId="7">
    <w:abstractNumId w:val="36"/>
  </w:num>
  <w:num w:numId="8">
    <w:abstractNumId w:val="30"/>
  </w:num>
  <w:num w:numId="9">
    <w:abstractNumId w:val="10"/>
  </w:num>
  <w:num w:numId="10">
    <w:abstractNumId w:val="35"/>
  </w:num>
  <w:num w:numId="11">
    <w:abstractNumId w:val="13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6"/>
  </w:num>
  <w:num w:numId="35">
    <w:abstractNumId w:val="21"/>
  </w:num>
  <w:num w:numId="36">
    <w:abstractNumId w:val="2"/>
  </w:num>
  <w:num w:numId="37">
    <w:abstractNumId w:val="14"/>
  </w:num>
  <w:num w:numId="38">
    <w:abstractNumId w:val="20"/>
  </w:num>
  <w:num w:numId="39">
    <w:abstractNumId w:val="24"/>
  </w:num>
  <w:num w:numId="40">
    <w:abstractNumId w:val="28"/>
  </w:num>
  <w:num w:numId="41">
    <w:abstractNumId w:val="31"/>
  </w:num>
  <w:num w:numId="42">
    <w:abstractNumId w:val="11"/>
  </w:num>
  <w:num w:numId="43">
    <w:abstractNumId w:val="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BCAD-F224-4424-A908-CCAC312B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2015-12-20T23:54:00Z</cp:lastPrinted>
  <dcterms:created xsi:type="dcterms:W3CDTF">2015-07-29T06:07:00Z</dcterms:created>
  <dcterms:modified xsi:type="dcterms:W3CDTF">2015-12-21T23:27:00Z</dcterms:modified>
</cp:coreProperties>
</file>