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1C0DC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1C0DCB" w:rsidRPr="001C0DC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закрытый запрос цен № 533866</w:t>
      </w:r>
    </w:p>
    <w:p w:rsidR="000F4708" w:rsidRPr="001C0DC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</w:t>
            </w:r>
            <w:r w:rsidR="008E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C0DCB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C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выполнение работ: </w:t>
      </w:r>
      <w:r w:rsidR="001C0DCB" w:rsidRPr="001C0DCB">
        <w:rPr>
          <w:rFonts w:ascii="Times New Roman" w:hAnsi="Times New Roman" w:cs="Times New Roman"/>
          <w:bCs/>
          <w:snapToGrid w:val="0"/>
          <w:sz w:val="24"/>
        </w:rPr>
        <w:t>закупка №79  –</w:t>
      </w:r>
      <w:r w:rsidR="001C0DCB" w:rsidRPr="001C0DCB">
        <w:rPr>
          <w:rFonts w:ascii="Times New Roman" w:hAnsi="Times New Roman" w:cs="Times New Roman"/>
          <w:color w:val="555555"/>
          <w:sz w:val="24"/>
        </w:rPr>
        <w:t xml:space="preserve"> </w:t>
      </w:r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1C0DCB" w:rsidRPr="001C0DCB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 на территории СП "ПЦЭС" филиала «Приморские ЭС»</w:t>
      </w:r>
    </w:p>
    <w:p w:rsidR="001C0DCB" w:rsidRPr="001C0DCB" w:rsidRDefault="001C0DCB" w:rsidP="001C0DC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</w:pPr>
      <w:proofErr w:type="gramStart"/>
      <w:r w:rsidRPr="001C0DC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u w:val="single"/>
          <w:lang w:eastAsia="ru-RU"/>
        </w:rPr>
        <w:t>Лот 6</w:t>
      </w:r>
      <w:r w:rsidRPr="001C0DC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Мероприятия по технологическому присоединению заявителей к электрическим сетям напряжением до 15 </w:t>
      </w:r>
      <w:proofErr w:type="spellStart"/>
      <w:r w:rsidRPr="001C0DC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кВ</w:t>
      </w:r>
      <w:proofErr w:type="spellEnd"/>
      <w:r w:rsidRPr="001C0DC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на территории СП «ПЦЭС» филиала «Приморские ЭС» (</w:t>
      </w:r>
      <w:proofErr w:type="spellStart"/>
      <w:r w:rsidRPr="001C0DC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Надеждинский</w:t>
      </w:r>
      <w:proofErr w:type="spellEnd"/>
      <w:r w:rsidRPr="001C0DC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район с. Прохладное, г. Артем п. Заводской, п. Олений, п. Новый, п. Зима Южная, урочище Соловей ключ).</w:t>
      </w:r>
      <w:proofErr w:type="gramEnd"/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1C0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2 086 811,63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706A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1C0D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C0D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C0DCB" w:rsidRPr="001C0DCB" w:rsidRDefault="001C0DCB" w:rsidP="001C0DCB">
      <w:pPr>
        <w:pStyle w:val="af1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0DCB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1C0DCB" w:rsidRPr="001C0DCB" w:rsidRDefault="001C0DCB" w:rsidP="001C0DCB">
      <w:pPr>
        <w:pStyle w:val="af1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0DC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C0DCB" w:rsidRPr="001C0DCB" w:rsidRDefault="001C0DCB" w:rsidP="001C0DCB">
      <w:pPr>
        <w:pStyle w:val="af1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0DCB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07:00 15.07.2015</w:t>
      </w:r>
      <w:r w:rsidR="00A62F31">
        <w:rPr>
          <w:rFonts w:ascii="Times New Roman" w:hAnsi="Times New Roman" w:cs="Times New Roman"/>
          <w:sz w:val="24"/>
          <w:szCs w:val="24"/>
          <w:lang w:eastAsia="ru-RU"/>
        </w:rPr>
        <w:t xml:space="preserve"> г. Сделано 2 ставки.</w:t>
      </w:r>
    </w:p>
    <w:p w:rsidR="001C0DCB" w:rsidRPr="001C0DCB" w:rsidRDefault="001C0DCB" w:rsidP="001C0DCB">
      <w:pPr>
        <w:pStyle w:val="af1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0DC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C0DCB" w:rsidRPr="001C0DCB" w:rsidRDefault="001C0DCB" w:rsidP="001C0DCB">
      <w:pPr>
        <w:pStyle w:val="af1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0DCB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4820"/>
      </w:tblGrid>
      <w:tr w:rsidR="001C0DCB" w:rsidRPr="001C0DCB" w:rsidTr="001C0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1C0DCB" w:rsidRPr="001C0DCB" w:rsidTr="001C0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"УЭМ"</w:t>
            </w: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(692502 , Приморский край, г. Уссурийск, ул. </w:t>
            </w:r>
            <w:proofErr w:type="spellStart"/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14.07.2015 в 05:38</w:t>
            </w: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1C0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2 085 811,00</w:t>
            </w: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1C0DCB" w:rsidRPr="001C0DCB" w:rsidTr="001C0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"ВСЭСС"</w:t>
            </w: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DCB" w:rsidRPr="001C0DCB" w:rsidRDefault="001C0DCB" w:rsidP="001C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14.07.2015 в 05:34</w:t>
            </w: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1C0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2 086 811,63 </w:t>
            </w:r>
            <w:r w:rsidRPr="001C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(цена без НДС</w:t>
            </w:r>
            <w:r w:rsidR="003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</w:tbl>
    <w:p w:rsidR="001C0DCB" w:rsidRPr="001C0DCB" w:rsidRDefault="001C0DCB" w:rsidP="001C0DCB">
      <w:pPr>
        <w:pStyle w:val="af1"/>
        <w:rPr>
          <w:rFonts w:ascii="Times New Roman" w:hAnsi="Times New Roman" w:cs="Times New Roman"/>
          <w:b/>
          <w:lang w:eastAsia="ru-RU"/>
        </w:rPr>
      </w:pPr>
      <w:r w:rsidRPr="001C0DCB">
        <w:rPr>
          <w:rFonts w:ascii="Times New Roman" w:hAnsi="Times New Roman" w:cs="Times New Roman"/>
          <w:b/>
          <w:lang w:eastAsia="ru-RU"/>
        </w:rPr>
        <w:t>Решили:</w:t>
      </w:r>
    </w:p>
    <w:p w:rsidR="001C0DCB" w:rsidRPr="001C0DCB" w:rsidRDefault="001C0DCB" w:rsidP="001C0DCB">
      <w:pPr>
        <w:pStyle w:val="af1"/>
        <w:rPr>
          <w:rFonts w:ascii="Times New Roman" w:hAnsi="Times New Roman" w:cs="Times New Roman"/>
          <w:lang w:eastAsia="ru-RU"/>
        </w:rPr>
      </w:pPr>
      <w:r w:rsidRPr="001C0DCB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1C0DCB" w:rsidRDefault="001C0DC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C0DCB">
        <w:rPr>
          <w:b/>
          <w:i/>
          <w:sz w:val="24"/>
        </w:rPr>
        <w:t>М.Г. Елисеева</w:t>
      </w: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A75AE">
        <w:rPr>
          <w:b/>
          <w:i/>
          <w:sz w:val="24"/>
        </w:rPr>
        <w:t>И.Н. Ирдуганова</w:t>
      </w:r>
    </w:p>
    <w:sectPr w:rsidR="000969C9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A6" w:rsidRDefault="004E72A6" w:rsidP="000F4708">
      <w:pPr>
        <w:spacing w:after="0" w:line="240" w:lineRule="auto"/>
      </w:pPr>
      <w:r>
        <w:separator/>
      </w:r>
    </w:p>
  </w:endnote>
  <w:endnote w:type="continuationSeparator" w:id="0">
    <w:p w:rsidR="004E72A6" w:rsidRDefault="004E72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D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A6" w:rsidRDefault="004E72A6" w:rsidP="000F4708">
      <w:pPr>
        <w:spacing w:after="0" w:line="240" w:lineRule="auto"/>
      </w:pPr>
      <w:r>
        <w:separator/>
      </w:r>
    </w:p>
  </w:footnote>
  <w:footnote w:type="continuationSeparator" w:id="0">
    <w:p w:rsidR="004E72A6" w:rsidRDefault="004E72A6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3D35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765DA"/>
    <w:rsid w:val="00384CAA"/>
    <w:rsid w:val="003930F2"/>
    <w:rsid w:val="003A01E7"/>
    <w:rsid w:val="003C1EDD"/>
    <w:rsid w:val="003D62C8"/>
    <w:rsid w:val="003E0D12"/>
    <w:rsid w:val="003F2505"/>
    <w:rsid w:val="0042071D"/>
    <w:rsid w:val="00433072"/>
    <w:rsid w:val="004332AF"/>
    <w:rsid w:val="004340CE"/>
    <w:rsid w:val="00456E12"/>
    <w:rsid w:val="004706AD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2149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F31"/>
    <w:rsid w:val="00A76D45"/>
    <w:rsid w:val="00A85B36"/>
    <w:rsid w:val="00A93AAA"/>
    <w:rsid w:val="00AA0FC2"/>
    <w:rsid w:val="00AA75AE"/>
    <w:rsid w:val="00AD0933"/>
    <w:rsid w:val="00AD6D2F"/>
    <w:rsid w:val="00AE0A9D"/>
    <w:rsid w:val="00AF54C4"/>
    <w:rsid w:val="00AF59CC"/>
    <w:rsid w:val="00B001DD"/>
    <w:rsid w:val="00B266A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9064F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1E99-8F6E-405D-A2AF-AFBF981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</cp:revision>
  <cp:lastPrinted>2015-03-31T00:25:00Z</cp:lastPrinted>
  <dcterms:created xsi:type="dcterms:W3CDTF">2015-03-25T00:14:00Z</dcterms:created>
  <dcterms:modified xsi:type="dcterms:W3CDTF">2015-07-15T08:01:00Z</dcterms:modified>
</cp:coreProperties>
</file>