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C446F">
        <w:rPr>
          <w:rStyle w:val="a9"/>
        </w:rPr>
        <w:t>478</w:t>
      </w:r>
      <w:r w:rsidR="00A34CF2">
        <w:rPr>
          <w:rStyle w:val="a9"/>
        </w:rPr>
        <w:t>/УКС</w:t>
      </w:r>
      <w:r w:rsidR="00622718" w:rsidRPr="00622718">
        <w:rPr>
          <w:rStyle w:val="a9"/>
        </w:rPr>
        <w:t>-Р</w:t>
      </w:r>
    </w:p>
    <w:p w:rsidR="009C446F" w:rsidRPr="007D5366" w:rsidRDefault="00622718" w:rsidP="009C446F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9C446F" w:rsidRPr="007D5366">
        <w:rPr>
          <w:rFonts w:ascii="Times New Roman" w:hAnsi="Times New Roman" w:cs="Times New Roman"/>
          <w:b/>
          <w:sz w:val="26"/>
          <w:szCs w:val="26"/>
        </w:rPr>
        <w:t>«</w:t>
      </w:r>
      <w:r w:rsidR="009C446F" w:rsidRPr="007D536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Реконструкция РП 10 </w:t>
      </w:r>
      <w:proofErr w:type="spellStart"/>
      <w:r w:rsidR="009C446F" w:rsidRPr="007D5366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9C446F" w:rsidRPr="007D536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№2 г. Свободный, филиал "АЭС»</w:t>
      </w:r>
      <w:r w:rsidR="009C446F" w:rsidRPr="007D536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9C446F" w:rsidRPr="007D5366">
        <w:rPr>
          <w:rFonts w:ascii="Times New Roman" w:hAnsi="Times New Roman" w:cs="Times New Roman"/>
          <w:b/>
          <w:bCs/>
          <w:i/>
          <w:sz w:val="26"/>
          <w:szCs w:val="26"/>
        </w:rPr>
        <w:t>закупка №846 р. 2.2.1 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9C446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9C446F">
              <w:rPr>
                <w:rFonts w:ascii="Times New Roman" w:hAnsi="Times New Roman"/>
                <w:sz w:val="24"/>
                <w:szCs w:val="24"/>
              </w:rPr>
              <w:t>08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46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9C446F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446F" w:rsidRDefault="009C446F" w:rsidP="009C446F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E878B0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9C446F" w:rsidRPr="00B3493B" w:rsidRDefault="009C446F" w:rsidP="009C446F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предложения </w:t>
      </w:r>
      <w:r w:rsidRPr="00876DCA">
        <w:rPr>
          <w:b/>
          <w:i/>
          <w:color w:val="333333"/>
          <w:sz w:val="24"/>
        </w:rPr>
        <w:t>ООО "НЭМК"</w:t>
      </w:r>
      <w:r w:rsidRPr="00876DCA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не соответствующим условиям запроса предложений.</w:t>
      </w:r>
    </w:p>
    <w:p w:rsidR="009C446F" w:rsidRPr="00B3493B" w:rsidRDefault="009C446F" w:rsidP="009C446F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предложения </w:t>
      </w:r>
      <w:r w:rsidRPr="00B3493B">
        <w:rPr>
          <w:b/>
          <w:i/>
          <w:color w:val="333333"/>
          <w:sz w:val="24"/>
        </w:rPr>
        <w:t>ООО ФСК "</w:t>
      </w:r>
      <w:proofErr w:type="spellStart"/>
      <w:r w:rsidRPr="00B3493B">
        <w:rPr>
          <w:b/>
          <w:i/>
          <w:color w:val="333333"/>
          <w:sz w:val="24"/>
        </w:rPr>
        <w:t>Энергосоюз</w:t>
      </w:r>
      <w:proofErr w:type="spellEnd"/>
      <w:r w:rsidRPr="00B3493B">
        <w:rPr>
          <w:b/>
          <w:i/>
          <w:color w:val="333333"/>
          <w:sz w:val="24"/>
        </w:rPr>
        <w:t xml:space="preserve">" </w:t>
      </w:r>
      <w:r>
        <w:rPr>
          <w:color w:val="333333"/>
          <w:sz w:val="24"/>
        </w:rPr>
        <w:t>не соответствующим условиям запроса предложений.</w:t>
      </w:r>
    </w:p>
    <w:p w:rsidR="009C446F" w:rsidRPr="00E878B0" w:rsidRDefault="009C446F" w:rsidP="009C446F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E878B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E878B0">
        <w:rPr>
          <w:bCs/>
          <w:i/>
          <w:iCs/>
          <w:sz w:val="24"/>
        </w:rPr>
        <w:t>соответствующими</w:t>
      </w:r>
      <w:proofErr w:type="gramEnd"/>
      <w:r w:rsidRPr="00E878B0">
        <w:rPr>
          <w:bCs/>
          <w:i/>
          <w:iCs/>
          <w:sz w:val="24"/>
        </w:rPr>
        <w:t xml:space="preserve"> условиям запроса предложений.</w:t>
      </w:r>
    </w:p>
    <w:p w:rsidR="009C446F" w:rsidRPr="00E878B0" w:rsidRDefault="009C446F" w:rsidP="009C446F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E878B0">
        <w:rPr>
          <w:bCs/>
          <w:i/>
          <w:iCs/>
          <w:sz w:val="24"/>
        </w:rPr>
        <w:t xml:space="preserve"> О </w:t>
      </w:r>
      <w:proofErr w:type="gramStart"/>
      <w:r w:rsidRPr="00E878B0">
        <w:rPr>
          <w:bCs/>
          <w:i/>
          <w:iCs/>
          <w:sz w:val="24"/>
        </w:rPr>
        <w:t>предварительной</w:t>
      </w:r>
      <w:proofErr w:type="gramEnd"/>
      <w:r w:rsidRPr="00E878B0">
        <w:rPr>
          <w:bCs/>
          <w:i/>
          <w:iCs/>
          <w:sz w:val="24"/>
        </w:rPr>
        <w:t xml:space="preserve"> </w:t>
      </w:r>
      <w:proofErr w:type="spellStart"/>
      <w:r w:rsidRPr="00E878B0">
        <w:rPr>
          <w:bCs/>
          <w:i/>
          <w:iCs/>
          <w:sz w:val="24"/>
        </w:rPr>
        <w:t>ранжировке</w:t>
      </w:r>
      <w:proofErr w:type="spellEnd"/>
      <w:r w:rsidRPr="00E878B0">
        <w:rPr>
          <w:bCs/>
          <w:i/>
          <w:iCs/>
          <w:sz w:val="24"/>
        </w:rPr>
        <w:t xml:space="preserve"> предложений</w:t>
      </w:r>
    </w:p>
    <w:p w:rsidR="009C446F" w:rsidRPr="00E878B0" w:rsidRDefault="009C446F" w:rsidP="009C446F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E878B0">
        <w:rPr>
          <w:bCs/>
          <w:i/>
          <w:iCs/>
          <w:sz w:val="24"/>
        </w:rPr>
        <w:t>О проведении переторжки</w:t>
      </w:r>
    </w:p>
    <w:p w:rsidR="0077332F" w:rsidRPr="009C446F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222702" w:rsidRPr="00577789" w:rsidRDefault="00222702" w:rsidP="0022270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222702" w:rsidRDefault="00222702" w:rsidP="0022270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222702" w:rsidRPr="00577789" w:rsidRDefault="00222702" w:rsidP="00222702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222702" w:rsidRDefault="00222702" w:rsidP="00222702">
      <w:pPr>
        <w:spacing w:line="240" w:lineRule="auto"/>
        <w:rPr>
          <w:b/>
          <w:sz w:val="24"/>
          <w:szCs w:val="24"/>
        </w:rPr>
      </w:pPr>
    </w:p>
    <w:p w:rsidR="00222702" w:rsidRPr="00577789" w:rsidRDefault="00222702" w:rsidP="0022270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222702" w:rsidRPr="00113DC2" w:rsidRDefault="00222702" w:rsidP="00222702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 xml:space="preserve">Отклонить предложение Участника </w:t>
      </w:r>
      <w:r w:rsidRPr="00002A55">
        <w:rPr>
          <w:b/>
          <w:i/>
          <w:sz w:val="24"/>
          <w:szCs w:val="24"/>
        </w:rPr>
        <w:t xml:space="preserve">ООО "НЭМК" </w:t>
      </w:r>
      <w:r w:rsidRPr="00002A55">
        <w:rPr>
          <w:sz w:val="24"/>
          <w:szCs w:val="24"/>
        </w:rPr>
        <w:t>от</w:t>
      </w:r>
      <w:r w:rsidRPr="00113DC2">
        <w:rPr>
          <w:sz w:val="24"/>
          <w:szCs w:val="24"/>
        </w:rPr>
        <w:t xml:space="preserve"> дальнейшего рассмотрения, как несоответствующее 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2702" w:rsidRPr="004F75FE" w:rsidTr="00222702">
        <w:tc>
          <w:tcPr>
            <w:tcW w:w="9606" w:type="dxa"/>
            <w:shd w:val="clear" w:color="auto" w:fill="auto"/>
          </w:tcPr>
          <w:p w:rsidR="00222702" w:rsidRPr="004F75FE" w:rsidRDefault="00222702" w:rsidP="00A85F3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F75FE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222702" w:rsidRPr="003A0314" w:rsidTr="00222702">
        <w:tc>
          <w:tcPr>
            <w:tcW w:w="9606" w:type="dxa"/>
            <w:shd w:val="clear" w:color="auto" w:fill="auto"/>
          </w:tcPr>
          <w:p w:rsidR="00222702" w:rsidRPr="00656F9B" w:rsidRDefault="00620AF9" w:rsidP="00620A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="00222702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222702">
              <w:rPr>
                <w:bCs/>
                <w:iCs/>
                <w:sz w:val="24"/>
                <w:szCs w:val="24"/>
              </w:rPr>
              <w:t>Отсутствует документ, требуемый в соответствии  с усло</w:t>
            </w:r>
            <w:r w:rsidR="009416B0">
              <w:rPr>
                <w:bCs/>
                <w:iCs/>
                <w:sz w:val="24"/>
                <w:szCs w:val="24"/>
              </w:rPr>
              <w:t>виями закупочной документации -</w:t>
            </w:r>
            <w:r w:rsidR="00222702">
              <w:rPr>
                <w:bCs/>
                <w:iCs/>
                <w:sz w:val="24"/>
                <w:szCs w:val="24"/>
              </w:rPr>
              <w:t xml:space="preserve"> </w:t>
            </w:r>
            <w:r w:rsidR="00222702" w:rsidRPr="00B00F71">
              <w:rPr>
                <w:sz w:val="24"/>
                <w:szCs w:val="24"/>
              </w:rPr>
              <w:t>отсканированный оригинал справки об отсутствии задолженности у налогоплательщика по уплате налогов,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(код по КНД 1120101)»</w:t>
            </w:r>
            <w:r w:rsidR="00222702">
              <w:rPr>
                <w:sz w:val="24"/>
                <w:szCs w:val="24"/>
              </w:rPr>
              <w:t xml:space="preserve">, что не соответствует п. </w:t>
            </w:r>
            <w:r w:rsidR="00222702" w:rsidRPr="00B00F71">
              <w:rPr>
                <w:sz w:val="24"/>
                <w:szCs w:val="24"/>
              </w:rPr>
              <w:t>п</w:t>
            </w:r>
            <w:proofErr w:type="gramEnd"/>
            <w:r w:rsidR="00222702" w:rsidRPr="00B00F71">
              <w:rPr>
                <w:sz w:val="24"/>
                <w:szCs w:val="24"/>
              </w:rPr>
              <w:t>. 4.2.15 «5»  и п. 3.16 раздела 8 Закупочной документации</w:t>
            </w:r>
          </w:p>
        </w:tc>
      </w:tr>
      <w:tr w:rsidR="00222702" w:rsidRPr="003A0314" w:rsidTr="00222702">
        <w:tc>
          <w:tcPr>
            <w:tcW w:w="9606" w:type="dxa"/>
            <w:shd w:val="clear" w:color="auto" w:fill="auto"/>
          </w:tcPr>
          <w:p w:rsidR="00222702" w:rsidRPr="003A0314" w:rsidRDefault="00222702" w:rsidP="00A85F31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2. </w:t>
            </w:r>
            <w:proofErr w:type="gramStart"/>
            <w:r>
              <w:rPr>
                <w:bCs/>
                <w:iCs/>
                <w:sz w:val="24"/>
                <w:szCs w:val="24"/>
              </w:rPr>
              <w:t>Отсутствую</w:t>
            </w:r>
            <w:r w:rsidRPr="003A0314">
              <w:rPr>
                <w:bCs/>
                <w:iCs/>
                <w:sz w:val="24"/>
                <w:szCs w:val="24"/>
              </w:rPr>
              <w:t>т документ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Pr="003A0314">
              <w:rPr>
                <w:bCs/>
                <w:iCs/>
                <w:sz w:val="24"/>
                <w:szCs w:val="24"/>
              </w:rPr>
              <w:t>, т</w:t>
            </w:r>
            <w:r>
              <w:rPr>
                <w:bCs/>
                <w:iCs/>
                <w:sz w:val="24"/>
                <w:szCs w:val="24"/>
              </w:rPr>
              <w:t>ребуемые</w:t>
            </w:r>
            <w:r w:rsidRPr="003A0314">
              <w:rPr>
                <w:bCs/>
                <w:iCs/>
                <w:sz w:val="24"/>
                <w:szCs w:val="24"/>
              </w:rPr>
              <w:t xml:space="preserve"> в соответствии с условиями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A0314">
              <w:rPr>
                <w:bCs/>
                <w:iCs/>
                <w:sz w:val="24"/>
                <w:szCs w:val="24"/>
              </w:rPr>
              <w:t>закупочной документации</w:t>
            </w:r>
            <w:r>
              <w:rPr>
                <w:bCs/>
                <w:iCs/>
                <w:sz w:val="24"/>
                <w:szCs w:val="24"/>
              </w:rPr>
              <w:t xml:space="preserve"> – копии паспортов транспортных средств (ПТС), копии паспортов транспортной машины (ПСМ)/свидетельства  регистрации транспортных средств, договора аренды, что не соответствует  п. 6.5 Технического задания и п. 3.6 раздела 8 Закупочной документации</w:t>
            </w:r>
            <w:proofErr w:type="gramEnd"/>
          </w:p>
        </w:tc>
      </w:tr>
    </w:tbl>
    <w:p w:rsidR="00222702" w:rsidRDefault="00222702" w:rsidP="00222702">
      <w:pPr>
        <w:spacing w:line="240" w:lineRule="auto"/>
        <w:rPr>
          <w:b/>
          <w:sz w:val="24"/>
          <w:szCs w:val="24"/>
        </w:rPr>
      </w:pPr>
    </w:p>
    <w:p w:rsidR="00222702" w:rsidRPr="00577789" w:rsidRDefault="00222702" w:rsidP="0022270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22702" w:rsidRPr="00113DC2" w:rsidRDefault="00222702" w:rsidP="00222702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lastRenderedPageBreak/>
        <w:t xml:space="preserve">Отклонить предложение Участника </w:t>
      </w:r>
      <w:r w:rsidRPr="00002A55">
        <w:rPr>
          <w:b/>
          <w:i/>
          <w:sz w:val="24"/>
        </w:rPr>
        <w:t>ООО ФСК "</w:t>
      </w:r>
      <w:proofErr w:type="spellStart"/>
      <w:r w:rsidRPr="00002A55">
        <w:rPr>
          <w:b/>
          <w:i/>
          <w:sz w:val="24"/>
        </w:rPr>
        <w:t>Энергосоюз</w:t>
      </w:r>
      <w:proofErr w:type="spellEnd"/>
      <w:r w:rsidRPr="00002A55">
        <w:rPr>
          <w:b/>
          <w:i/>
          <w:sz w:val="24"/>
        </w:rPr>
        <w:t>"</w:t>
      </w:r>
      <w:r w:rsidRPr="00002A55">
        <w:rPr>
          <w:b/>
          <w:i/>
          <w:sz w:val="24"/>
          <w:szCs w:val="24"/>
        </w:rPr>
        <w:t xml:space="preserve"> </w:t>
      </w:r>
      <w:r w:rsidRPr="00113DC2">
        <w:rPr>
          <w:sz w:val="24"/>
          <w:szCs w:val="24"/>
        </w:rPr>
        <w:t>от дальнейшего рассмотрения, как несоответствующее 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2702" w:rsidRPr="004F75FE" w:rsidTr="00222702">
        <w:tc>
          <w:tcPr>
            <w:tcW w:w="9606" w:type="dxa"/>
            <w:shd w:val="clear" w:color="auto" w:fill="auto"/>
          </w:tcPr>
          <w:p w:rsidR="00222702" w:rsidRPr="004F75FE" w:rsidRDefault="00222702" w:rsidP="00A85F3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F75FE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222702" w:rsidRPr="004F75FE" w:rsidTr="00222702">
        <w:trPr>
          <w:trHeight w:val="405"/>
        </w:trPr>
        <w:tc>
          <w:tcPr>
            <w:tcW w:w="9606" w:type="dxa"/>
            <w:shd w:val="clear" w:color="auto" w:fill="auto"/>
          </w:tcPr>
          <w:p w:rsidR="00222702" w:rsidRPr="00F0176A" w:rsidRDefault="00222702" w:rsidP="00A85F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Отсутствует документ, требуемый в соответствии  с условиями закупочной документации - </w:t>
            </w:r>
            <w:r w:rsidRPr="00B00F71">
              <w:rPr>
                <w:sz w:val="24"/>
                <w:szCs w:val="24"/>
              </w:rPr>
              <w:t>отсканированный оригинал справки об отсутствии задолженности у налогоплательщика по уплате налогов,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(код по КНД 1120101)»</w:t>
            </w:r>
            <w:r>
              <w:rPr>
                <w:sz w:val="24"/>
                <w:szCs w:val="24"/>
              </w:rPr>
              <w:t xml:space="preserve">, что не соответствует п. </w:t>
            </w:r>
            <w:r w:rsidRPr="00B00F71">
              <w:rPr>
                <w:sz w:val="24"/>
                <w:szCs w:val="24"/>
              </w:rPr>
              <w:t>п</w:t>
            </w:r>
            <w:proofErr w:type="gramEnd"/>
            <w:r w:rsidRPr="00B00F71">
              <w:rPr>
                <w:sz w:val="24"/>
                <w:szCs w:val="24"/>
              </w:rPr>
              <w:t>. 4.2.15 «5»  и п. 3.16 раздела 8 Закупочной документации</w:t>
            </w:r>
          </w:p>
        </w:tc>
      </w:tr>
    </w:tbl>
    <w:p w:rsidR="00222702" w:rsidRPr="00577789" w:rsidRDefault="00222702" w:rsidP="00222702">
      <w:pPr>
        <w:spacing w:line="240" w:lineRule="auto"/>
        <w:rPr>
          <w:b/>
          <w:sz w:val="24"/>
          <w:szCs w:val="24"/>
        </w:rPr>
      </w:pPr>
    </w:p>
    <w:p w:rsidR="00222702" w:rsidRPr="00577789" w:rsidRDefault="00222702" w:rsidP="0022270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222702" w:rsidRPr="00577789" w:rsidRDefault="00222702" w:rsidP="0022270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szCs w:val="24"/>
        </w:rPr>
        <w:t xml:space="preserve">1. </w:t>
      </w:r>
      <w:proofErr w:type="gramStart"/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Pr="00876DCA">
        <w:rPr>
          <w:b/>
          <w:i/>
          <w:color w:val="333333"/>
          <w:szCs w:val="24"/>
        </w:rPr>
        <w:t>ООО "ДЭМ"</w:t>
      </w:r>
      <w:r w:rsidRPr="00876DCA">
        <w:rPr>
          <w:color w:val="333333"/>
          <w:szCs w:val="24"/>
        </w:rPr>
        <w:t xml:space="preserve"> (676450, Россия, Амурская область, г.</w:t>
      </w:r>
      <w:r>
        <w:rPr>
          <w:color w:val="333333"/>
          <w:szCs w:val="24"/>
        </w:rPr>
        <w:t xml:space="preserve"> </w:t>
      </w:r>
      <w:r w:rsidRPr="00876DCA">
        <w:rPr>
          <w:color w:val="333333"/>
          <w:szCs w:val="24"/>
        </w:rPr>
        <w:t xml:space="preserve">Свободный, ул. </w:t>
      </w:r>
      <w:proofErr w:type="spellStart"/>
      <w:r w:rsidRPr="00876DCA">
        <w:rPr>
          <w:color w:val="333333"/>
          <w:szCs w:val="24"/>
        </w:rPr>
        <w:t>Шатковская</w:t>
      </w:r>
      <w:proofErr w:type="spellEnd"/>
      <w:r w:rsidRPr="00876DCA">
        <w:rPr>
          <w:color w:val="333333"/>
          <w:szCs w:val="24"/>
        </w:rPr>
        <w:t>, 126)</w:t>
      </w:r>
      <w:r>
        <w:rPr>
          <w:color w:val="333333"/>
          <w:szCs w:val="24"/>
        </w:rPr>
        <w:t xml:space="preserve">; </w:t>
      </w:r>
      <w:r w:rsidRPr="00876DCA">
        <w:rPr>
          <w:b/>
          <w:i/>
          <w:color w:val="333333"/>
          <w:szCs w:val="24"/>
        </w:rPr>
        <w:t>ООО "НПО "</w:t>
      </w:r>
      <w:proofErr w:type="spellStart"/>
      <w:r w:rsidRPr="00876DCA">
        <w:rPr>
          <w:b/>
          <w:i/>
          <w:color w:val="333333"/>
          <w:szCs w:val="24"/>
        </w:rPr>
        <w:t>Сибэлектрощит</w:t>
      </w:r>
      <w:proofErr w:type="spellEnd"/>
      <w:r w:rsidRPr="00876DCA">
        <w:rPr>
          <w:b/>
          <w:i/>
          <w:color w:val="333333"/>
          <w:szCs w:val="24"/>
        </w:rPr>
        <w:t>"</w:t>
      </w:r>
      <w:r w:rsidRPr="00876DCA">
        <w:rPr>
          <w:color w:val="333333"/>
          <w:szCs w:val="24"/>
        </w:rPr>
        <w:t xml:space="preserve"> (644089, г. Омск, пр.</w:t>
      </w:r>
      <w:proofErr w:type="gramEnd"/>
      <w:r w:rsidRPr="00876DCA">
        <w:rPr>
          <w:color w:val="333333"/>
          <w:szCs w:val="24"/>
        </w:rPr>
        <w:t xml:space="preserve"> </w:t>
      </w:r>
      <w:proofErr w:type="gramStart"/>
      <w:r w:rsidRPr="00876DCA">
        <w:rPr>
          <w:color w:val="333333"/>
          <w:szCs w:val="24"/>
        </w:rPr>
        <w:t>Мира д. 69)</w:t>
      </w:r>
      <w:r>
        <w:rPr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222702" w:rsidRPr="00577789" w:rsidRDefault="00222702" w:rsidP="00222702">
      <w:pPr>
        <w:spacing w:line="240" w:lineRule="auto"/>
        <w:rPr>
          <w:b/>
          <w:sz w:val="24"/>
          <w:szCs w:val="24"/>
        </w:rPr>
      </w:pPr>
    </w:p>
    <w:p w:rsidR="00222702" w:rsidRPr="00577789" w:rsidRDefault="00222702" w:rsidP="0022270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222702" w:rsidRDefault="00222702" w:rsidP="00222702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1276"/>
      </w:tblGrid>
      <w:tr w:rsidR="00222702" w:rsidRPr="0014326E" w:rsidTr="00222702">
        <w:tc>
          <w:tcPr>
            <w:tcW w:w="1418" w:type="dxa"/>
            <w:shd w:val="clear" w:color="auto" w:fill="auto"/>
          </w:tcPr>
          <w:p w:rsidR="00222702" w:rsidRPr="0014326E" w:rsidRDefault="00222702" w:rsidP="00A85F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4326E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4326E">
              <w:rPr>
                <w:b/>
                <w:i/>
                <w:sz w:val="20"/>
              </w:rPr>
              <w:t>предварительной</w:t>
            </w:r>
            <w:proofErr w:type="gramEnd"/>
            <w:r w:rsidRPr="0014326E">
              <w:rPr>
                <w:b/>
                <w:i/>
                <w:sz w:val="20"/>
              </w:rPr>
              <w:t xml:space="preserve"> </w:t>
            </w:r>
            <w:proofErr w:type="spellStart"/>
            <w:r w:rsidRPr="0014326E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222702" w:rsidRPr="0014326E" w:rsidRDefault="00222702" w:rsidP="00A85F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4326E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985" w:type="dxa"/>
            <w:shd w:val="clear" w:color="auto" w:fill="auto"/>
          </w:tcPr>
          <w:p w:rsidR="00222702" w:rsidRPr="0014326E" w:rsidRDefault="00222702" w:rsidP="00A85F31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4326E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</w:tcPr>
          <w:p w:rsidR="00222702" w:rsidRPr="0014326E" w:rsidRDefault="00222702" w:rsidP="00A85F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4326E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222702" w:rsidRPr="00724DEB" w:rsidTr="00222702">
        <w:tc>
          <w:tcPr>
            <w:tcW w:w="1418" w:type="dxa"/>
            <w:shd w:val="clear" w:color="auto" w:fill="auto"/>
          </w:tcPr>
          <w:p w:rsidR="00222702" w:rsidRPr="00724DEB" w:rsidRDefault="00222702" w:rsidP="00A85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shd w:val="clear" w:color="auto" w:fill="auto"/>
          </w:tcPr>
          <w:p w:rsidR="00222702" w:rsidRPr="00876DCA" w:rsidRDefault="00222702" w:rsidP="00A85F31">
            <w:pPr>
              <w:spacing w:line="240" w:lineRule="auto"/>
              <w:ind w:firstLine="81"/>
              <w:rPr>
                <w:color w:val="333333"/>
                <w:sz w:val="24"/>
                <w:szCs w:val="24"/>
              </w:rPr>
            </w:pPr>
            <w:proofErr w:type="gramStart"/>
            <w:r w:rsidRPr="00876DCA">
              <w:rPr>
                <w:b/>
                <w:i/>
                <w:color w:val="333333"/>
                <w:sz w:val="24"/>
                <w:szCs w:val="24"/>
              </w:rPr>
              <w:t>ООО "НПО "</w:t>
            </w:r>
            <w:proofErr w:type="spellStart"/>
            <w:r w:rsidRPr="00876DCA">
              <w:rPr>
                <w:b/>
                <w:i/>
                <w:color w:val="333333"/>
                <w:sz w:val="24"/>
                <w:szCs w:val="24"/>
              </w:rPr>
              <w:t>Сибэлектрощит</w:t>
            </w:r>
            <w:proofErr w:type="spellEnd"/>
            <w:r w:rsidRPr="00876DC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876DCA">
              <w:rPr>
                <w:color w:val="333333"/>
                <w:sz w:val="24"/>
                <w:szCs w:val="24"/>
              </w:rPr>
              <w:t xml:space="preserve"> (644089, г. Омск, пр.</w:t>
            </w:r>
            <w:proofErr w:type="gramEnd"/>
            <w:r w:rsidRPr="00876DCA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76DCA">
              <w:rPr>
                <w:color w:val="333333"/>
                <w:sz w:val="24"/>
                <w:szCs w:val="24"/>
              </w:rPr>
              <w:t>Мира д. 69)</w:t>
            </w:r>
            <w:bookmarkStart w:id="2" w:name="_GoBack"/>
            <w:bookmarkEnd w:id="2"/>
            <w:proofErr w:type="gramEnd"/>
          </w:p>
        </w:tc>
        <w:tc>
          <w:tcPr>
            <w:tcW w:w="1985" w:type="dxa"/>
            <w:shd w:val="clear" w:color="auto" w:fill="auto"/>
          </w:tcPr>
          <w:p w:rsidR="00222702" w:rsidRPr="00876DCA" w:rsidRDefault="00222702" w:rsidP="00A85F31">
            <w:pPr>
              <w:spacing w:line="240" w:lineRule="auto"/>
              <w:ind w:firstLine="175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3 765 682,00 </w:t>
            </w:r>
          </w:p>
        </w:tc>
        <w:tc>
          <w:tcPr>
            <w:tcW w:w="1276" w:type="dxa"/>
          </w:tcPr>
          <w:p w:rsidR="00222702" w:rsidRPr="00724DEB" w:rsidRDefault="00222702" w:rsidP="00A85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222702" w:rsidRPr="00724DEB" w:rsidTr="00222702">
        <w:tc>
          <w:tcPr>
            <w:tcW w:w="1418" w:type="dxa"/>
            <w:shd w:val="clear" w:color="auto" w:fill="auto"/>
          </w:tcPr>
          <w:p w:rsidR="00222702" w:rsidRPr="00724DEB" w:rsidRDefault="00222702" w:rsidP="00A85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shd w:val="clear" w:color="auto" w:fill="auto"/>
          </w:tcPr>
          <w:p w:rsidR="00222702" w:rsidRPr="00876DCA" w:rsidRDefault="00222702" w:rsidP="00A85F31">
            <w:pPr>
              <w:spacing w:line="240" w:lineRule="auto"/>
              <w:ind w:firstLine="81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876DCA">
              <w:rPr>
                <w:color w:val="333333"/>
                <w:sz w:val="24"/>
                <w:szCs w:val="24"/>
              </w:rPr>
              <w:t xml:space="preserve"> (676450,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76DCA">
              <w:rPr>
                <w:color w:val="333333"/>
                <w:sz w:val="24"/>
                <w:szCs w:val="24"/>
              </w:rPr>
              <w:t>Свободный</w:t>
            </w:r>
            <w:proofErr w:type="gramEnd"/>
            <w:r w:rsidRPr="00876DCA">
              <w:rPr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876DCA">
              <w:rPr>
                <w:color w:val="333333"/>
                <w:sz w:val="24"/>
                <w:szCs w:val="24"/>
              </w:rPr>
              <w:t>Шатковская</w:t>
            </w:r>
            <w:proofErr w:type="spellEnd"/>
            <w:r w:rsidRPr="00876DCA">
              <w:rPr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1985" w:type="dxa"/>
            <w:shd w:val="clear" w:color="auto" w:fill="auto"/>
          </w:tcPr>
          <w:p w:rsidR="00222702" w:rsidRPr="00876DCA" w:rsidRDefault="00222702" w:rsidP="00A85F31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3 755 108,00</w:t>
            </w:r>
          </w:p>
        </w:tc>
        <w:tc>
          <w:tcPr>
            <w:tcW w:w="1276" w:type="dxa"/>
          </w:tcPr>
          <w:p w:rsidR="00222702" w:rsidRPr="00724DEB" w:rsidRDefault="00222702" w:rsidP="00A85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2,82</w:t>
            </w:r>
          </w:p>
        </w:tc>
      </w:tr>
    </w:tbl>
    <w:p w:rsidR="00222702" w:rsidRDefault="00222702" w:rsidP="00222702">
      <w:pPr>
        <w:spacing w:line="240" w:lineRule="auto"/>
        <w:rPr>
          <w:b/>
          <w:sz w:val="24"/>
          <w:szCs w:val="24"/>
        </w:rPr>
      </w:pPr>
    </w:p>
    <w:p w:rsidR="00222702" w:rsidRPr="00BC5322" w:rsidRDefault="00222702" w:rsidP="00222702">
      <w:pPr>
        <w:spacing w:line="240" w:lineRule="auto"/>
        <w:rPr>
          <w:b/>
          <w:sz w:val="24"/>
          <w:szCs w:val="24"/>
        </w:rPr>
      </w:pPr>
      <w:r w:rsidRPr="00BC5322">
        <w:rPr>
          <w:b/>
          <w:sz w:val="24"/>
          <w:szCs w:val="24"/>
        </w:rPr>
        <w:t>По вопросу № 4</w:t>
      </w:r>
    </w:p>
    <w:p w:rsidR="00222702" w:rsidRPr="00BC5322" w:rsidRDefault="00222702" w:rsidP="0022270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222702" w:rsidRDefault="00222702" w:rsidP="00222702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color w:val="333333"/>
          <w:sz w:val="24"/>
          <w:szCs w:val="24"/>
        </w:rPr>
      </w:pPr>
      <w:r w:rsidRPr="00BC5322">
        <w:rPr>
          <w:sz w:val="24"/>
          <w:szCs w:val="24"/>
        </w:rPr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876DCA">
        <w:rPr>
          <w:rFonts w:eastAsia="Times New Roman"/>
          <w:b/>
          <w:i/>
          <w:color w:val="333333"/>
          <w:sz w:val="24"/>
          <w:szCs w:val="24"/>
        </w:rPr>
        <w:t>ООО "ДЭМ"</w:t>
      </w:r>
      <w:r w:rsidRPr="00876DCA">
        <w:rPr>
          <w:rFonts w:eastAsia="Times New Roman"/>
          <w:color w:val="333333"/>
          <w:sz w:val="24"/>
          <w:szCs w:val="24"/>
        </w:rPr>
        <w:t xml:space="preserve"> (676450, Россия, Амурская область, г.</w:t>
      </w:r>
      <w:r>
        <w:rPr>
          <w:rFonts w:eastAsia="Times New Roman"/>
          <w:color w:val="333333"/>
          <w:sz w:val="24"/>
          <w:szCs w:val="24"/>
        </w:rPr>
        <w:t xml:space="preserve"> </w:t>
      </w:r>
      <w:r w:rsidRPr="00876DCA">
        <w:rPr>
          <w:rFonts w:eastAsia="Times New Roman"/>
          <w:color w:val="333333"/>
          <w:sz w:val="24"/>
          <w:szCs w:val="24"/>
        </w:rPr>
        <w:t xml:space="preserve">Свободный, ул. </w:t>
      </w:r>
      <w:proofErr w:type="spellStart"/>
      <w:r w:rsidRPr="00876DCA">
        <w:rPr>
          <w:rFonts w:eastAsia="Times New Roman"/>
          <w:color w:val="333333"/>
          <w:sz w:val="24"/>
          <w:szCs w:val="24"/>
        </w:rPr>
        <w:t>Шатковская</w:t>
      </w:r>
      <w:proofErr w:type="spellEnd"/>
      <w:r w:rsidRPr="00876DCA">
        <w:rPr>
          <w:rFonts w:eastAsia="Times New Roman"/>
          <w:color w:val="333333"/>
          <w:sz w:val="24"/>
          <w:szCs w:val="24"/>
        </w:rPr>
        <w:t>, 126)</w:t>
      </w:r>
      <w:r>
        <w:rPr>
          <w:color w:val="333333"/>
          <w:szCs w:val="24"/>
        </w:rPr>
        <w:t xml:space="preserve">; </w:t>
      </w:r>
      <w:r w:rsidRPr="00876DCA">
        <w:rPr>
          <w:rFonts w:eastAsia="Times New Roman"/>
          <w:b/>
          <w:i/>
          <w:color w:val="333333"/>
          <w:sz w:val="24"/>
          <w:szCs w:val="24"/>
        </w:rPr>
        <w:t>ООО "НПО "</w:t>
      </w:r>
      <w:proofErr w:type="spellStart"/>
      <w:r w:rsidRPr="00876DCA">
        <w:rPr>
          <w:rFonts w:eastAsia="Times New Roman"/>
          <w:b/>
          <w:i/>
          <w:color w:val="333333"/>
          <w:sz w:val="24"/>
          <w:szCs w:val="24"/>
        </w:rPr>
        <w:t>Сибэлектрощит</w:t>
      </w:r>
      <w:proofErr w:type="spellEnd"/>
      <w:r w:rsidRPr="00876DCA">
        <w:rPr>
          <w:rFonts w:eastAsia="Times New Roman"/>
          <w:b/>
          <w:i/>
          <w:color w:val="333333"/>
          <w:sz w:val="24"/>
          <w:szCs w:val="24"/>
        </w:rPr>
        <w:t>"</w:t>
      </w:r>
      <w:r w:rsidRPr="00876DCA">
        <w:rPr>
          <w:rFonts w:eastAsia="Times New Roman"/>
          <w:color w:val="333333"/>
          <w:sz w:val="24"/>
          <w:szCs w:val="24"/>
        </w:rPr>
        <w:t xml:space="preserve"> (644089, г. Омск, пр.</w:t>
      </w:r>
      <w:proofErr w:type="gramEnd"/>
      <w:r w:rsidRPr="00876DCA">
        <w:rPr>
          <w:rFonts w:eastAsia="Times New Roman"/>
          <w:color w:val="333333"/>
          <w:sz w:val="24"/>
          <w:szCs w:val="24"/>
        </w:rPr>
        <w:t xml:space="preserve"> </w:t>
      </w:r>
      <w:proofErr w:type="gramStart"/>
      <w:r w:rsidRPr="00876DCA">
        <w:rPr>
          <w:rFonts w:eastAsia="Times New Roman"/>
          <w:color w:val="333333"/>
          <w:sz w:val="24"/>
          <w:szCs w:val="24"/>
        </w:rPr>
        <w:t>Мира д. 69)</w:t>
      </w:r>
      <w:proofErr w:type="gramEnd"/>
    </w:p>
    <w:p w:rsidR="00222702" w:rsidRPr="00577789" w:rsidRDefault="00222702" w:rsidP="002227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222702" w:rsidRPr="00577789" w:rsidRDefault="00222702" w:rsidP="0022270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>ереторжку на 11.06</w:t>
      </w:r>
      <w:r w:rsidRPr="00577789">
        <w:rPr>
          <w:sz w:val="24"/>
          <w:szCs w:val="24"/>
        </w:rPr>
        <w:t xml:space="preserve">.2015 г. </w:t>
      </w:r>
      <w:r>
        <w:rPr>
          <w:sz w:val="24"/>
          <w:szCs w:val="24"/>
        </w:rPr>
        <w:t>до 10</w:t>
      </w:r>
      <w:r w:rsidRPr="00577789">
        <w:rPr>
          <w:sz w:val="24"/>
          <w:szCs w:val="24"/>
        </w:rPr>
        <w:t>:00 час</w:t>
      </w:r>
      <w:proofErr w:type="gramStart"/>
      <w:r w:rsidRPr="00577789">
        <w:rPr>
          <w:sz w:val="24"/>
          <w:szCs w:val="24"/>
        </w:rPr>
        <w:t>.</w:t>
      </w:r>
      <w:proofErr w:type="gramEnd"/>
      <w:r w:rsidRPr="00577789">
        <w:rPr>
          <w:sz w:val="24"/>
          <w:szCs w:val="24"/>
        </w:rPr>
        <w:t xml:space="preserve"> (</w:t>
      </w:r>
      <w:proofErr w:type="gramStart"/>
      <w:r w:rsidRPr="00577789">
        <w:rPr>
          <w:sz w:val="24"/>
          <w:szCs w:val="24"/>
        </w:rPr>
        <w:t>м</w:t>
      </w:r>
      <w:proofErr w:type="gramEnd"/>
      <w:r w:rsidRPr="00577789">
        <w:rPr>
          <w:sz w:val="24"/>
          <w:szCs w:val="24"/>
        </w:rPr>
        <w:t xml:space="preserve">естного времени); </w:t>
      </w:r>
    </w:p>
    <w:p w:rsidR="00222702" w:rsidRPr="00577789" w:rsidRDefault="00222702" w:rsidP="0022270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222702" w:rsidRPr="00577789" w:rsidRDefault="00222702" w:rsidP="00222702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816DF" w:rsidRPr="008E25CC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78" w:rsidRDefault="00933778" w:rsidP="00355095">
      <w:pPr>
        <w:spacing w:line="240" w:lineRule="auto"/>
      </w:pPr>
      <w:r>
        <w:separator/>
      </w:r>
    </w:p>
  </w:endnote>
  <w:endnote w:type="continuationSeparator" w:id="0">
    <w:p w:rsidR="00933778" w:rsidRDefault="009337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17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17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78" w:rsidRDefault="00933778" w:rsidP="00355095">
      <w:pPr>
        <w:spacing w:line="240" w:lineRule="auto"/>
      </w:pPr>
      <w:r>
        <w:separator/>
      </w:r>
    </w:p>
  </w:footnote>
  <w:footnote w:type="continuationSeparator" w:id="0">
    <w:p w:rsidR="00933778" w:rsidRDefault="009337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217BD">
      <w:rPr>
        <w:i/>
        <w:sz w:val="20"/>
      </w:rPr>
      <w:t>846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270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2E16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03C82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0AF9"/>
    <w:rsid w:val="00622718"/>
    <w:rsid w:val="006227C6"/>
    <w:rsid w:val="00622BD9"/>
    <w:rsid w:val="00622C5B"/>
    <w:rsid w:val="006354A5"/>
    <w:rsid w:val="006629E9"/>
    <w:rsid w:val="0067734E"/>
    <w:rsid w:val="00680B61"/>
    <w:rsid w:val="006926AB"/>
    <w:rsid w:val="006B3625"/>
    <w:rsid w:val="006B6296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217BD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778"/>
    <w:rsid w:val="00933F91"/>
    <w:rsid w:val="009377AC"/>
    <w:rsid w:val="009416B0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C446F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36566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375C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0843-0FD8-46D0-822E-C5682ECA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52</cp:revision>
  <cp:lastPrinted>2015-06-08T05:40:00Z</cp:lastPrinted>
  <dcterms:created xsi:type="dcterms:W3CDTF">2014-09-03T05:40:00Z</dcterms:created>
  <dcterms:modified xsi:type="dcterms:W3CDTF">2015-06-09T03:52:00Z</dcterms:modified>
</cp:coreProperties>
</file>