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151A79" w:rsidRPr="00CE5F3E" w:rsidRDefault="00B35F01" w:rsidP="00151A7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1</w:t>
      </w:r>
      <w:r w:rsidR="00F53EA2" w:rsidRPr="00F53EA2">
        <w:rPr>
          <w:sz w:val="26"/>
          <w:szCs w:val="26"/>
        </w:rPr>
        <w:t>0</w:t>
      </w:r>
      <w:r w:rsidR="00151A79" w:rsidRPr="00CE5F3E">
        <w:rPr>
          <w:sz w:val="26"/>
          <w:szCs w:val="26"/>
        </w:rPr>
        <w:t>.</w:t>
      </w:r>
      <w:r w:rsidR="00F53EA2" w:rsidRPr="00F53EA2">
        <w:rPr>
          <w:sz w:val="26"/>
          <w:szCs w:val="26"/>
        </w:rPr>
        <w:t>04</w:t>
      </w:r>
      <w:r w:rsidR="00151A79" w:rsidRPr="00CE5F3E">
        <w:rPr>
          <w:sz w:val="26"/>
          <w:szCs w:val="26"/>
        </w:rPr>
        <w:t>.201</w:t>
      </w:r>
      <w:r w:rsidR="00F53EA2" w:rsidRPr="00F53EA2">
        <w:rPr>
          <w:sz w:val="26"/>
          <w:szCs w:val="26"/>
        </w:rPr>
        <w:t>5</w:t>
      </w:r>
      <w:r w:rsidR="00151A79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F53EA2" w:rsidRPr="00F53EA2" w:rsidRDefault="00C3795B" w:rsidP="00F53EA2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="00F53EA2" w:rsidRPr="00F53EA2">
        <w:rPr>
          <w:b/>
          <w:szCs w:val="28"/>
        </w:rPr>
        <w:t xml:space="preserve">открытого запрос предложений на ЭТП на право заключения договора на передачу прав лицензионного программного обеспечения </w:t>
      </w:r>
    </w:p>
    <w:p w:rsidR="00C3795B" w:rsidRPr="008B3BEA" w:rsidRDefault="00F53EA2" w:rsidP="00670AC1">
      <w:pPr>
        <w:jc w:val="center"/>
        <w:rPr>
          <w:b/>
          <w:szCs w:val="28"/>
        </w:rPr>
      </w:pPr>
      <w:proofErr w:type="spellStart"/>
      <w:r w:rsidRPr="00F53EA2">
        <w:rPr>
          <w:b/>
          <w:szCs w:val="28"/>
        </w:rPr>
        <w:t>AutoCAD</w:t>
      </w:r>
      <w:proofErr w:type="spellEnd"/>
      <w:r>
        <w:rPr>
          <w:b/>
          <w:szCs w:val="28"/>
        </w:rPr>
        <w:t xml:space="preserve"> </w:t>
      </w:r>
      <w:r w:rsidR="002166F1">
        <w:rPr>
          <w:b/>
          <w:szCs w:val="28"/>
        </w:rPr>
        <w:t>д</w:t>
      </w:r>
      <w:r w:rsidR="00C3795B" w:rsidRPr="008B3BEA">
        <w:rPr>
          <w:b/>
          <w:szCs w:val="28"/>
        </w:rPr>
        <w:t>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F53EA2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="00151A79">
        <w:rPr>
          <w:b/>
          <w:sz w:val="22"/>
        </w:rPr>
        <w:t>закупки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ЭТП на право заключения договора на </w:t>
      </w:r>
      <w:r w:rsidR="00F53EA2" w:rsidRPr="00F53EA2">
        <w:rPr>
          <w:sz w:val="22"/>
        </w:rPr>
        <w:t xml:space="preserve">передачу прав лицензионного программного обеспечения </w:t>
      </w:r>
      <w:proofErr w:type="spellStart"/>
      <w:r w:rsidR="00F53EA2" w:rsidRPr="00F53EA2">
        <w:rPr>
          <w:sz w:val="22"/>
        </w:rPr>
        <w:t>AutoCAD</w:t>
      </w:r>
      <w:proofErr w:type="spellEnd"/>
      <w:r w:rsidR="00332D64" w:rsidRPr="00332D64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716D0B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716D0B">
        <w:rPr>
          <w:sz w:val="22"/>
        </w:rPr>
        <w:t xml:space="preserve"> </w:t>
      </w:r>
      <w:r w:rsidR="009F4F79">
        <w:rPr>
          <w:sz w:val="22"/>
        </w:rPr>
        <w:t xml:space="preserve">в течение </w:t>
      </w:r>
      <w:r w:rsidR="00716D0B" w:rsidRPr="00716D0B">
        <w:rPr>
          <w:sz w:val="22"/>
        </w:rPr>
        <w:t>1</w:t>
      </w:r>
      <w:r w:rsidR="009F4F79">
        <w:rPr>
          <w:sz w:val="22"/>
        </w:rPr>
        <w:t>4</w:t>
      </w:r>
      <w:r w:rsidR="00716D0B" w:rsidRPr="00716D0B">
        <w:rPr>
          <w:sz w:val="22"/>
        </w:rPr>
        <w:t xml:space="preserve"> календарных дней с момента подписания договора</w:t>
      </w:r>
      <w:r w:rsidR="00716D0B">
        <w:rPr>
          <w:sz w:val="22"/>
        </w:rPr>
        <w:t>.</w:t>
      </w:r>
      <w:r w:rsidR="00935198" w:rsidRPr="00935198">
        <w:rPr>
          <w:sz w:val="22"/>
        </w:rPr>
        <w:t xml:space="preserve"> </w:t>
      </w:r>
    </w:p>
    <w:p w:rsidR="00C3795B" w:rsidRPr="00366D6D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5. </w:t>
      </w:r>
      <w:r w:rsidRPr="0062194D">
        <w:rPr>
          <w:b/>
          <w:sz w:val="22"/>
          <w:szCs w:val="22"/>
        </w:rPr>
        <w:t>Требования к продукции</w:t>
      </w:r>
      <w:r w:rsidRPr="0062194D">
        <w:rPr>
          <w:sz w:val="22"/>
          <w:szCs w:val="22"/>
        </w:rPr>
        <w:t xml:space="preserve">: 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5.2. Продукция должна сопровождаться технической документацией (инструкции по эксплуатации для администратора, пользователя).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6. </w:t>
      </w:r>
      <w:r w:rsidRPr="0062194D">
        <w:rPr>
          <w:b/>
          <w:sz w:val="22"/>
          <w:szCs w:val="22"/>
        </w:rPr>
        <w:t>Обязательные</w:t>
      </w:r>
      <w:r w:rsidRPr="0062194D">
        <w:rPr>
          <w:sz w:val="22"/>
          <w:szCs w:val="22"/>
        </w:rPr>
        <w:t xml:space="preserve"> </w:t>
      </w:r>
      <w:r w:rsidRPr="0062194D">
        <w:rPr>
          <w:b/>
          <w:sz w:val="22"/>
          <w:szCs w:val="22"/>
        </w:rPr>
        <w:t>требования к Участникам</w:t>
      </w:r>
      <w:r w:rsidRPr="0062194D">
        <w:rPr>
          <w:sz w:val="22"/>
          <w:szCs w:val="22"/>
        </w:rPr>
        <w:t xml:space="preserve"> закупки, установленные Заказчиком: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sz w:val="22"/>
          <w:szCs w:val="22"/>
        </w:rPr>
        <w:t>6.1. 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</w:t>
      </w:r>
      <w:r w:rsidR="00DA1C2B">
        <w:rPr>
          <w:sz w:val="22"/>
          <w:szCs w:val="22"/>
        </w:rPr>
        <w:t xml:space="preserve"> на поставляемое </w:t>
      </w:r>
      <w:r w:rsidRPr="0062194D">
        <w:rPr>
          <w:sz w:val="22"/>
          <w:szCs w:val="22"/>
        </w:rPr>
        <w:t>лицензионное</w:t>
      </w:r>
      <w:r w:rsidR="00DA1C2B">
        <w:rPr>
          <w:sz w:val="22"/>
          <w:szCs w:val="22"/>
        </w:rPr>
        <w:t xml:space="preserve"> </w:t>
      </w:r>
      <w:r w:rsidRPr="0062194D">
        <w:rPr>
          <w:sz w:val="22"/>
          <w:szCs w:val="22"/>
        </w:rPr>
        <w:t>программное обеспечение</w:t>
      </w:r>
      <w:r w:rsidRPr="0062194D">
        <w:rPr>
          <w:b/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b/>
          <w:sz w:val="22"/>
          <w:szCs w:val="22"/>
        </w:rPr>
        <w:t>7. Предлагаемые оценочные критерии к Участникам закупки:</w:t>
      </w:r>
    </w:p>
    <w:p w:rsidR="00260160" w:rsidRPr="00E5698F" w:rsidRDefault="00260160" w:rsidP="00260160">
      <w:pPr>
        <w:ind w:left="720"/>
        <w:jc w:val="both"/>
        <w:rPr>
          <w:b/>
          <w:bCs/>
        </w:rPr>
      </w:pPr>
      <w:r w:rsidRPr="00E5698F">
        <w:rPr>
          <w:b/>
        </w:rPr>
        <w:t>. Критерии выбора победителя:</w:t>
      </w:r>
    </w:p>
    <w:p w:rsidR="00260160" w:rsidRPr="00E5698F" w:rsidRDefault="00260160" w:rsidP="00260160">
      <w:pPr>
        <w:ind w:left="720"/>
      </w:pPr>
      <w:r>
        <w:t>• Цена</w:t>
      </w:r>
      <w:r w:rsidRPr="00E5698F">
        <w:br/>
        <w:t>• Неценовые критерии:</w:t>
      </w:r>
      <w:r w:rsidRPr="00E5698F">
        <w:br/>
      </w:r>
      <w:r>
        <w:t>1</w:t>
      </w:r>
      <w:r w:rsidRPr="00E5698F">
        <w:t xml:space="preserve">. Квалификация Участника – </w:t>
      </w:r>
      <w:r>
        <w:t>100</w:t>
      </w:r>
      <w:r w:rsidRPr="00E5698F">
        <w:t>%:</w:t>
      </w:r>
      <w:r w:rsidRPr="00E5698F">
        <w:br/>
      </w:r>
      <w:r>
        <w:t>1</w:t>
      </w:r>
      <w:r w:rsidRPr="00E5698F">
        <w:t xml:space="preserve">.1. Объем и успешный опыт выполнения договоров </w:t>
      </w:r>
      <w:r>
        <w:t xml:space="preserve">по поставке программного обеспечения на сумму не менее суммы закупки </w:t>
      </w:r>
      <w:proofErr w:type="gramStart"/>
      <w:r>
        <w:t>за</w:t>
      </w:r>
      <w:proofErr w:type="gramEnd"/>
      <w:r>
        <w:t xml:space="preserve"> последние 3 года  </w:t>
      </w:r>
      <w:r w:rsidRPr="00E5698F">
        <w:t xml:space="preserve">– </w:t>
      </w:r>
      <w:r>
        <w:t>8</w:t>
      </w:r>
      <w:r w:rsidRPr="00E5698F">
        <w:t>0%;</w:t>
      </w:r>
      <w:r w:rsidRPr="00E5698F">
        <w:br/>
      </w:r>
      <w:r>
        <w:t>1</w:t>
      </w:r>
      <w:r w:rsidRPr="00E5698F">
        <w:t>.3. Деловая репутация (отзывы заказчиков, участие в судебных разбирательствах,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E5698F">
        <w:br/>
      </w:r>
      <w:r>
        <w:t>1</w:t>
      </w:r>
      <w:r w:rsidRPr="00E5698F">
        <w:t>.4. Отсутствие сведений об участнике реестре недобросовестных контрагентов ОАО «РАО</w:t>
      </w:r>
    </w:p>
    <w:p w:rsidR="00260160" w:rsidRPr="00E5698F" w:rsidRDefault="00260160" w:rsidP="00260160">
      <w:pPr>
        <w:autoSpaceDE w:val="0"/>
        <w:autoSpaceDN w:val="0"/>
        <w:adjustRightInd w:val="0"/>
        <w:ind w:left="720"/>
      </w:pPr>
      <w:r w:rsidRPr="00E5698F">
        <w:t>Энергетические системы Востока» – 10%;</w:t>
      </w:r>
      <w:r w:rsidRPr="00E5698F">
        <w:br/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bookmarkStart w:id="0" w:name="_GoBack"/>
      <w:bookmarkEnd w:id="0"/>
    </w:p>
    <w:p w:rsidR="00151A79" w:rsidRPr="0062194D" w:rsidRDefault="00151A79" w:rsidP="00151A79">
      <w:pPr>
        <w:tabs>
          <w:tab w:val="left" w:pos="284"/>
        </w:tabs>
        <w:rPr>
          <w:sz w:val="22"/>
          <w:szCs w:val="22"/>
        </w:rPr>
      </w:pPr>
      <w:r w:rsidRPr="0062194D">
        <w:rPr>
          <w:sz w:val="22"/>
          <w:szCs w:val="22"/>
        </w:rPr>
        <w:t>8.</w:t>
      </w:r>
      <w:r w:rsidRPr="0062194D">
        <w:rPr>
          <w:sz w:val="22"/>
          <w:szCs w:val="22"/>
        </w:rPr>
        <w:tab/>
      </w:r>
      <w:r w:rsidRPr="0062194D">
        <w:rPr>
          <w:b/>
          <w:sz w:val="22"/>
          <w:szCs w:val="22"/>
        </w:rPr>
        <w:t>Оплата услуг Поставщика</w:t>
      </w:r>
      <w:r w:rsidRPr="0062194D">
        <w:rPr>
          <w:sz w:val="22"/>
          <w:szCs w:val="22"/>
        </w:rPr>
        <w:t>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8.1. Оплата осуществляется путем перечисления денежных средств на расчетный счет </w:t>
      </w:r>
      <w:r w:rsidR="00F53EA2">
        <w:rPr>
          <w:sz w:val="22"/>
          <w:szCs w:val="22"/>
        </w:rPr>
        <w:t>Покупателя</w:t>
      </w:r>
      <w:proofErr w:type="gramStart"/>
      <w:r w:rsidR="00F53EA2">
        <w:rPr>
          <w:sz w:val="22"/>
          <w:szCs w:val="22"/>
        </w:rPr>
        <w:t>.</w:t>
      </w:r>
      <w:r w:rsidRPr="0062194D">
        <w:rPr>
          <w:sz w:val="22"/>
          <w:szCs w:val="22"/>
        </w:rPr>
        <w:t>.</w:t>
      </w:r>
      <w:proofErr w:type="gramEnd"/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8.2. Условия оплаты:  в течение </w:t>
      </w:r>
      <w:r w:rsidR="009F4F79">
        <w:rPr>
          <w:sz w:val="22"/>
          <w:szCs w:val="22"/>
        </w:rPr>
        <w:t>30</w:t>
      </w:r>
      <w:r w:rsidRPr="0062194D">
        <w:rPr>
          <w:sz w:val="22"/>
          <w:szCs w:val="22"/>
        </w:rPr>
        <w:t xml:space="preserve"> календарных дней с момента </w:t>
      </w:r>
      <w:proofErr w:type="gramStart"/>
      <w:r w:rsidRPr="0062194D">
        <w:rPr>
          <w:sz w:val="22"/>
          <w:szCs w:val="22"/>
        </w:rPr>
        <w:t>подписания актов приема передачи прав</w:t>
      </w:r>
      <w:proofErr w:type="gramEnd"/>
      <w:r w:rsidRPr="0062194D">
        <w:rPr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8.3. Стоимость </w:t>
      </w:r>
      <w:proofErr w:type="gramStart"/>
      <w:r w:rsidRPr="0062194D">
        <w:rPr>
          <w:sz w:val="22"/>
          <w:szCs w:val="22"/>
        </w:rPr>
        <w:t>ПО</w:t>
      </w:r>
      <w:proofErr w:type="gramEnd"/>
      <w:r w:rsidRPr="0062194D">
        <w:rPr>
          <w:sz w:val="22"/>
          <w:szCs w:val="22"/>
        </w:rPr>
        <w:t xml:space="preserve"> </w:t>
      </w:r>
      <w:proofErr w:type="gramStart"/>
      <w:r w:rsidRPr="0062194D">
        <w:rPr>
          <w:sz w:val="22"/>
          <w:szCs w:val="22"/>
        </w:rPr>
        <w:t>должна</w:t>
      </w:r>
      <w:proofErr w:type="gramEnd"/>
      <w:r w:rsidRPr="0062194D">
        <w:rPr>
          <w:sz w:val="22"/>
          <w:szCs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Pr="002F7371" w:rsidRDefault="00C3795B" w:rsidP="00B35F01">
      <w:pPr>
        <w:tabs>
          <w:tab w:val="left" w:pos="709"/>
        </w:tabs>
        <w:ind w:left="-22"/>
        <w:jc w:val="right"/>
        <w:rPr>
          <w:b/>
        </w:rPr>
      </w:pPr>
      <w:r w:rsidRPr="002F7371">
        <w:rPr>
          <w:b/>
        </w:rPr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F53EA2" w:rsidRDefault="00F53EA2" w:rsidP="00F53EA2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765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30"/>
        <w:gridCol w:w="972"/>
        <w:gridCol w:w="992"/>
        <w:gridCol w:w="3827"/>
        <w:gridCol w:w="1134"/>
      </w:tblGrid>
      <w:tr w:rsidR="00F53EA2" w:rsidTr="00F53EA2">
        <w:trPr>
          <w:trHeight w:val="24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№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Правообладатель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Наименование программы для ЭВМ, право </w:t>
            </w:r>
            <w:proofErr w:type="gramStart"/>
            <w:r>
              <w:rPr>
                <w:rFonts w:ascii="Tahoma" w:hAnsi="Tahoma" w:cs="Tahoma"/>
                <w:bCs/>
                <w:sz w:val="16"/>
                <w:szCs w:val="16"/>
              </w:rPr>
              <w:t>использования</w:t>
            </w:r>
            <w:proofErr w:type="gramEnd"/>
            <w:r>
              <w:rPr>
                <w:rFonts w:ascii="Tahoma" w:hAnsi="Tahoma" w:cs="Tahoma"/>
                <w:bCs/>
                <w:sz w:val="16"/>
                <w:szCs w:val="16"/>
              </w:rPr>
              <w:t xml:space="preserve"> которой предоставляется Сублицензиату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Кол-во</w:t>
            </w:r>
          </w:p>
          <w:p w:rsidR="00F53EA2" w:rsidRDefault="00F53EA2" w:rsidP="00C700F9">
            <w:pPr>
              <w:tabs>
                <w:tab w:val="left" w:pos="426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лицензий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057G1-R35111-1001-E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B93C15" w:rsidRDefault="00F53EA2" w:rsidP="002B7483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LT 201</w:t>
            </w:r>
            <w:r w:rsidR="002B7483" w:rsidRPr="002B748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 xml:space="preserve"> Commercial New SLM ESD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05700-000000-9860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LT Commercial Maintenance Subscription (1 Year)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001G1-R35111-1701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2B7483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</w:t>
            </w:r>
            <w:r w:rsidR="002B7483" w:rsidRPr="002B748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 xml:space="preserve"> Commercial New SLM ACE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001G1-001151-1711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2B7483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</w:t>
            </w:r>
            <w:r w:rsidR="002B7483" w:rsidRPr="002B748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 xml:space="preserve"> Commercial New SLM Additional Seat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001G1-R35211-1701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2B7483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</w:t>
            </w:r>
            <w:r w:rsidR="002B7483" w:rsidRPr="002B748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 xml:space="preserve"> Commercial New NLM ACE R3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001G1-001251-1711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2B7483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201</w:t>
            </w:r>
            <w:r w:rsidR="002B7483" w:rsidRPr="002B748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 xml:space="preserve"> Commercial New NLM Additional Seat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F53EA2" w:rsidRPr="00640144" w:rsidTr="00F53EA2">
        <w:trPr>
          <w:trHeight w:val="14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Pr="00640144" w:rsidRDefault="00F53EA2" w:rsidP="00F53EA2">
            <w:pPr>
              <w:numPr>
                <w:ilvl w:val="0"/>
                <w:numId w:val="7"/>
              </w:numPr>
              <w:tabs>
                <w:tab w:val="clear" w:pos="720"/>
                <w:tab w:val="left" w:pos="426"/>
              </w:tabs>
              <w:ind w:left="0" w:firstLine="0"/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00100-ACE130-S001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EA2" w:rsidRDefault="00F53EA2" w:rsidP="00C700F9">
            <w:pPr>
              <w:tabs>
                <w:tab w:val="left" w:pos="426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Autodesk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 w:rsidP="005C7C6A">
            <w:pPr>
              <w:tabs>
                <w:tab w:val="left" w:pos="426"/>
                <w:tab w:val="left" w:pos="3152"/>
              </w:tabs>
              <w:jc w:val="both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640144">
              <w:rPr>
                <w:rFonts w:ascii="Tahoma" w:hAnsi="Tahoma" w:cs="Tahoma"/>
                <w:sz w:val="16"/>
                <w:szCs w:val="16"/>
                <w:lang w:val="en-US"/>
              </w:rPr>
              <w:t>Autodesk AutoCAD Commercial Maintenance Subscription (1 Year) ACE GEN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EA2" w:rsidRDefault="00F53E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</w:tbl>
    <w:p w:rsidR="00B35F01" w:rsidRPr="00E5698F" w:rsidRDefault="00B35F01" w:rsidP="00B35F01">
      <w:pPr>
        <w:jc w:val="both"/>
      </w:pPr>
    </w:p>
    <w:p w:rsidR="00B35F01" w:rsidRPr="00E5698F" w:rsidRDefault="00B35F01" w:rsidP="00B35F01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B35F01" w:rsidRPr="00E5698F" w:rsidTr="00CB5D49">
        <w:trPr>
          <w:trHeight w:val="1123"/>
        </w:trPr>
        <w:tc>
          <w:tcPr>
            <w:tcW w:w="3198" w:type="dxa"/>
            <w:vAlign w:val="bottom"/>
          </w:tcPr>
          <w:p w:rsidR="00B35F01" w:rsidRPr="00E5698F" w:rsidRDefault="00B35F01" w:rsidP="00CB5D49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192" w:type="dxa"/>
            <w:vAlign w:val="bottom"/>
          </w:tcPr>
          <w:p w:rsidR="00B35F01" w:rsidRPr="00E5698F" w:rsidRDefault="00B35F01" w:rsidP="00CB5D49">
            <w:r w:rsidRPr="00E5698F">
              <w:t>И.Г. Волков</w:t>
            </w:r>
          </w:p>
        </w:tc>
      </w:tr>
    </w:tbl>
    <w:p w:rsidR="00B35F01" w:rsidRPr="00E5698F" w:rsidRDefault="00B35F01" w:rsidP="00B35F01"/>
    <w:p w:rsidR="00B35F01" w:rsidRPr="00E5698F" w:rsidRDefault="00B35F01" w:rsidP="00B35F01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4"/>
        <w:gridCol w:w="3177"/>
        <w:gridCol w:w="3200"/>
      </w:tblGrid>
      <w:tr w:rsidR="00B35F01" w:rsidRPr="00E5698F" w:rsidTr="00CB5D49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CB5D49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225" w:type="dxa"/>
            <w:vAlign w:val="bottom"/>
          </w:tcPr>
          <w:p w:rsidR="00B35F01" w:rsidRPr="00E5698F" w:rsidRDefault="00B35F01" w:rsidP="00CB5D49">
            <w:proofErr w:type="spellStart"/>
            <w:r w:rsidRPr="00E5698F">
              <w:t>Ю.Б.Талакань</w:t>
            </w:r>
            <w:proofErr w:type="spellEnd"/>
          </w:p>
        </w:tc>
      </w:tr>
    </w:tbl>
    <w:p w:rsidR="00B35F01" w:rsidRPr="00E5698F" w:rsidRDefault="00B35F01" w:rsidP="00B35F01">
      <w:pPr>
        <w:tabs>
          <w:tab w:val="num" w:pos="0"/>
        </w:tabs>
        <w:jc w:val="right"/>
        <w:rPr>
          <w:b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836117" w:rsidRPr="00B77E01" w:rsidRDefault="00836117" w:rsidP="00B35F01">
      <w:pPr>
        <w:tabs>
          <w:tab w:val="left" w:pos="6317"/>
        </w:tabs>
        <w:rPr>
          <w:b/>
          <w:sz w:val="28"/>
          <w:szCs w:val="28"/>
        </w:rPr>
      </w:pPr>
    </w:p>
    <w:sectPr w:rsidR="00836117" w:rsidRPr="00B77E01" w:rsidSect="0037736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5BAC"/>
    <w:multiLevelType w:val="multilevel"/>
    <w:tmpl w:val="B9E88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6A05D3D"/>
    <w:multiLevelType w:val="hybridMultilevel"/>
    <w:tmpl w:val="50485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4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5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6996"/>
    <w:rsid w:val="00036217"/>
    <w:rsid w:val="0005348B"/>
    <w:rsid w:val="000655DE"/>
    <w:rsid w:val="00087251"/>
    <w:rsid w:val="000966AF"/>
    <w:rsid w:val="000D4229"/>
    <w:rsid w:val="000E0FA3"/>
    <w:rsid w:val="001144B5"/>
    <w:rsid w:val="00151A79"/>
    <w:rsid w:val="001606F3"/>
    <w:rsid w:val="001A54A0"/>
    <w:rsid w:val="001F6462"/>
    <w:rsid w:val="002166F1"/>
    <w:rsid w:val="00260160"/>
    <w:rsid w:val="00277B20"/>
    <w:rsid w:val="002B7483"/>
    <w:rsid w:val="002D503D"/>
    <w:rsid w:val="002F68C9"/>
    <w:rsid w:val="00322307"/>
    <w:rsid w:val="00332D64"/>
    <w:rsid w:val="00362A3B"/>
    <w:rsid w:val="0037736F"/>
    <w:rsid w:val="00393843"/>
    <w:rsid w:val="0042685C"/>
    <w:rsid w:val="00427D9E"/>
    <w:rsid w:val="004533CA"/>
    <w:rsid w:val="0048284A"/>
    <w:rsid w:val="004C6E53"/>
    <w:rsid w:val="005307CF"/>
    <w:rsid w:val="00544C2A"/>
    <w:rsid w:val="005C5648"/>
    <w:rsid w:val="005C7C6A"/>
    <w:rsid w:val="005D19F7"/>
    <w:rsid w:val="006372CF"/>
    <w:rsid w:val="00653C6F"/>
    <w:rsid w:val="006545DE"/>
    <w:rsid w:val="00670AC1"/>
    <w:rsid w:val="006F6A9D"/>
    <w:rsid w:val="00716D0B"/>
    <w:rsid w:val="007967FA"/>
    <w:rsid w:val="007F1AD4"/>
    <w:rsid w:val="00823CE7"/>
    <w:rsid w:val="00827F94"/>
    <w:rsid w:val="00836117"/>
    <w:rsid w:val="0087583A"/>
    <w:rsid w:val="00935198"/>
    <w:rsid w:val="009B17B0"/>
    <w:rsid w:val="009D30FD"/>
    <w:rsid w:val="009F4F79"/>
    <w:rsid w:val="00A26C86"/>
    <w:rsid w:val="00A54AD3"/>
    <w:rsid w:val="00A7221E"/>
    <w:rsid w:val="00B35F01"/>
    <w:rsid w:val="00B402E5"/>
    <w:rsid w:val="00B77E01"/>
    <w:rsid w:val="00BB7C76"/>
    <w:rsid w:val="00BC2D10"/>
    <w:rsid w:val="00BF1A2E"/>
    <w:rsid w:val="00C3795B"/>
    <w:rsid w:val="00CB7878"/>
    <w:rsid w:val="00CC22C4"/>
    <w:rsid w:val="00D345CB"/>
    <w:rsid w:val="00D67331"/>
    <w:rsid w:val="00DA1C2B"/>
    <w:rsid w:val="00DD169A"/>
    <w:rsid w:val="00E251C5"/>
    <w:rsid w:val="00EC4401"/>
    <w:rsid w:val="00F53EA2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Волков Игорь Геннадьевич</cp:lastModifiedBy>
  <cp:revision>6</cp:revision>
  <cp:lastPrinted>2015-04-10T01:21:00Z</cp:lastPrinted>
  <dcterms:created xsi:type="dcterms:W3CDTF">2015-04-10T00:55:00Z</dcterms:created>
  <dcterms:modified xsi:type="dcterms:W3CDTF">2015-04-10T05:12:00Z</dcterms:modified>
</cp:coreProperties>
</file>