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73BD1">
        <w:rPr>
          <w:rStyle w:val="a9"/>
        </w:rPr>
        <w:t>465</w:t>
      </w:r>
      <w:r w:rsidR="002C44BC">
        <w:rPr>
          <w:rStyle w:val="a9"/>
        </w:rPr>
        <w:t>/УТПиР</w:t>
      </w:r>
      <w:bookmarkStart w:id="2" w:name="_GoBack"/>
      <w:bookmarkEnd w:id="2"/>
      <w:r w:rsidR="00622718" w:rsidRPr="00622718">
        <w:rPr>
          <w:rStyle w:val="a9"/>
        </w:rPr>
        <w:t>-Р</w:t>
      </w:r>
    </w:p>
    <w:p w:rsidR="00A34CF2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C73BD1" w:rsidRPr="00C73B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«Реконструкция ПС 110 </w:t>
      </w:r>
      <w:proofErr w:type="spellStart"/>
      <w:r w:rsidR="00C73BD1" w:rsidRPr="00C73BD1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C73BD1" w:rsidRPr="00C73B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C73BD1" w:rsidRPr="00C73BD1">
        <w:rPr>
          <w:rFonts w:ascii="Times New Roman" w:hAnsi="Times New Roman" w:cs="Times New Roman"/>
          <w:b/>
          <w:bCs/>
          <w:i/>
          <w:sz w:val="24"/>
          <w:szCs w:val="24"/>
        </w:rPr>
        <w:t>Среднебелая</w:t>
      </w:r>
      <w:proofErr w:type="spellEnd"/>
      <w:r w:rsidR="00C73BD1" w:rsidRPr="00C73BD1">
        <w:rPr>
          <w:rFonts w:ascii="Times New Roman" w:hAnsi="Times New Roman" w:cs="Times New Roman"/>
          <w:b/>
          <w:bCs/>
          <w:i/>
          <w:sz w:val="24"/>
          <w:szCs w:val="24"/>
        </w:rPr>
        <w:t>, филиала "АЭС"», закупка №812 р. 2.1.1 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A34CF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5A2F65">
              <w:rPr>
                <w:rFonts w:ascii="Times New Roman" w:hAnsi="Times New Roman"/>
                <w:sz w:val="24"/>
                <w:szCs w:val="24"/>
              </w:rPr>
              <w:t>27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CF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рассмотрении результатов оценки предложений Участников</w:t>
      </w:r>
    </w:p>
    <w:p w:rsidR="00C73BD1" w:rsidRPr="00113DC2" w:rsidRDefault="00C73BD1" w:rsidP="00C73BD1">
      <w:pPr>
        <w:numPr>
          <w:ilvl w:val="0"/>
          <w:numId w:val="18"/>
        </w:numPr>
        <w:spacing w:line="240" w:lineRule="auto"/>
        <w:ind w:left="927"/>
        <w:rPr>
          <w:bCs/>
          <w:i/>
          <w:iCs/>
          <w:sz w:val="24"/>
          <w:szCs w:val="24"/>
        </w:rPr>
      </w:pPr>
      <w:r w:rsidRPr="00113DC2">
        <w:rPr>
          <w:bCs/>
          <w:i/>
          <w:iCs/>
          <w:sz w:val="24"/>
          <w:szCs w:val="24"/>
        </w:rPr>
        <w:t xml:space="preserve">О признании предложения ООО "ЭЛМОНТ" (675000, Амурская область, г. Благовещенск, ул. Нагорная 19)не соответствующим условиям закупки. 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113DC2">
        <w:rPr>
          <w:bCs/>
          <w:i/>
          <w:iCs/>
          <w:sz w:val="24"/>
        </w:rPr>
        <w:t>соответствующими</w:t>
      </w:r>
      <w:proofErr w:type="gramEnd"/>
      <w:r w:rsidRPr="00113DC2">
        <w:rPr>
          <w:bCs/>
          <w:i/>
          <w:iCs/>
          <w:sz w:val="24"/>
        </w:rPr>
        <w:t xml:space="preserve"> условиям запроса предложений.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 О </w:t>
      </w:r>
      <w:proofErr w:type="gramStart"/>
      <w:r w:rsidRPr="00113DC2">
        <w:rPr>
          <w:bCs/>
          <w:i/>
          <w:iCs/>
          <w:sz w:val="24"/>
        </w:rPr>
        <w:t>предварительной</w:t>
      </w:r>
      <w:proofErr w:type="gramEnd"/>
      <w:r w:rsidRPr="00113DC2">
        <w:rPr>
          <w:bCs/>
          <w:i/>
          <w:iCs/>
          <w:sz w:val="24"/>
        </w:rPr>
        <w:t xml:space="preserve"> </w:t>
      </w:r>
      <w:proofErr w:type="spellStart"/>
      <w:r w:rsidRPr="00113DC2">
        <w:rPr>
          <w:bCs/>
          <w:i/>
          <w:iCs/>
          <w:sz w:val="24"/>
        </w:rPr>
        <w:t>ранжировке</w:t>
      </w:r>
      <w:proofErr w:type="spellEnd"/>
      <w:r w:rsidRPr="00113DC2">
        <w:rPr>
          <w:bCs/>
          <w:i/>
          <w:iCs/>
          <w:sz w:val="24"/>
        </w:rPr>
        <w:t xml:space="preserve"> предложений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1</w:t>
      </w:r>
    </w:p>
    <w:p w:rsidR="00C73BD1" w:rsidRPr="00113DC2" w:rsidRDefault="00C73BD1" w:rsidP="00C73BD1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bCs/>
          <w:iCs/>
          <w:szCs w:val="24"/>
        </w:rPr>
        <w:t>1</w:t>
      </w:r>
      <w:r w:rsidRPr="00113DC2">
        <w:rPr>
          <w:b/>
          <w:bCs/>
          <w:i/>
          <w:iCs/>
          <w:szCs w:val="24"/>
        </w:rPr>
        <w:t xml:space="preserve">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объем полученной информации достаточным для принятия решения. </w:t>
      </w:r>
    </w:p>
    <w:p w:rsidR="00C73BD1" w:rsidRPr="00113DC2" w:rsidRDefault="00C73BD1" w:rsidP="00C73BD1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Cs w:val="24"/>
        </w:rPr>
      </w:pPr>
      <w:r w:rsidRPr="00113DC2">
        <w:rPr>
          <w:szCs w:val="24"/>
        </w:rPr>
        <w:t xml:space="preserve">2. </w:t>
      </w:r>
      <w:r w:rsidRPr="00113DC2">
        <w:rPr>
          <w:b/>
          <w:i/>
          <w:szCs w:val="24"/>
        </w:rPr>
        <w:t>Утвердить</w:t>
      </w:r>
      <w:r w:rsidRPr="00113DC2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</w:p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2</w:t>
      </w:r>
    </w:p>
    <w:p w:rsidR="00C73BD1" w:rsidRPr="00113DC2" w:rsidRDefault="00C73BD1" w:rsidP="00C73BD1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t>1</w:t>
      </w:r>
      <w:r w:rsidRPr="00113DC2">
        <w:rPr>
          <w:b/>
          <w:sz w:val="24"/>
          <w:szCs w:val="24"/>
        </w:rPr>
        <w:t xml:space="preserve">. </w:t>
      </w:r>
      <w:r w:rsidRPr="00113DC2">
        <w:rPr>
          <w:sz w:val="24"/>
          <w:szCs w:val="24"/>
        </w:rPr>
        <w:t xml:space="preserve">Отклонить предложение Участника </w:t>
      </w:r>
      <w:r w:rsidRPr="00113DC2">
        <w:rPr>
          <w:b/>
          <w:i/>
          <w:sz w:val="24"/>
          <w:szCs w:val="24"/>
        </w:rPr>
        <w:t xml:space="preserve">ООО "ЭЛМОНТ" </w:t>
      </w:r>
      <w:r w:rsidRPr="00113DC2">
        <w:rPr>
          <w:i/>
          <w:sz w:val="24"/>
          <w:szCs w:val="24"/>
        </w:rPr>
        <w:t>(675000, Амурская область, г. Благовещенск, ул. Нагорная 19)</w:t>
      </w:r>
      <w:r w:rsidRPr="00113DC2">
        <w:rPr>
          <w:b/>
          <w:i/>
          <w:sz w:val="24"/>
          <w:szCs w:val="24"/>
        </w:rPr>
        <w:t xml:space="preserve"> </w:t>
      </w:r>
      <w:r w:rsidRPr="00113DC2">
        <w:rPr>
          <w:sz w:val="24"/>
          <w:szCs w:val="24"/>
        </w:rPr>
        <w:t>от дальнейшего рассмотрения, как несоответствующее Закупочной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73BD1" w:rsidRPr="00113DC2" w:rsidTr="00C73BD1">
        <w:tc>
          <w:tcPr>
            <w:tcW w:w="9606" w:type="dxa"/>
            <w:shd w:val="clear" w:color="auto" w:fill="auto"/>
          </w:tcPr>
          <w:p w:rsidR="00C73BD1" w:rsidRPr="00113DC2" w:rsidRDefault="00C73BD1" w:rsidP="00765F9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13DC2">
              <w:rPr>
                <w:b/>
                <w:bCs/>
                <w:i/>
                <w:iCs/>
                <w:sz w:val="24"/>
                <w:szCs w:val="24"/>
              </w:rPr>
              <w:t>Основания для отклонения</w:t>
            </w:r>
          </w:p>
        </w:tc>
      </w:tr>
      <w:tr w:rsidR="00C73BD1" w:rsidRPr="00113DC2" w:rsidTr="00C73BD1">
        <w:trPr>
          <w:trHeight w:val="405"/>
        </w:trPr>
        <w:tc>
          <w:tcPr>
            <w:tcW w:w="9606" w:type="dxa"/>
            <w:shd w:val="clear" w:color="auto" w:fill="auto"/>
          </w:tcPr>
          <w:p w:rsidR="00C73BD1" w:rsidRPr="00113DC2" w:rsidRDefault="00C73BD1" w:rsidP="00765F9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b/>
                <w:sz w:val="24"/>
                <w:szCs w:val="24"/>
              </w:rPr>
              <w:t>1.</w:t>
            </w:r>
            <w:r w:rsidRPr="00113DC2">
              <w:rPr>
                <w:sz w:val="24"/>
                <w:szCs w:val="24"/>
              </w:rPr>
              <w:t xml:space="preserve"> Участник не предоставил конверт с цепочкой собственников, что не соответствует п. «н» 2.4.1.1 и </w:t>
            </w:r>
            <w:proofErr w:type="gramStart"/>
            <w:r w:rsidRPr="00113DC2">
              <w:rPr>
                <w:sz w:val="24"/>
                <w:szCs w:val="24"/>
              </w:rPr>
              <w:t>п</w:t>
            </w:r>
            <w:proofErr w:type="gramEnd"/>
            <w:r w:rsidRPr="00113DC2">
              <w:rPr>
                <w:sz w:val="24"/>
                <w:szCs w:val="24"/>
              </w:rPr>
              <w:t xml:space="preserve"> «л» 2.5.4.1 Закупочной документации, в которых установлено следующее требование: участник в состав своего предложения  должен включить нотариально заверенные документы, подтверждающие представленные Участником сведения о цепочке собственников, включая бенефициаров, которые представляются в бумажном виде и на электронном носителе в отдельном запечатанном конверте с надписью «Документы Участника о цепочке собственников» по адресу Заказчика, без размещения на электронной торговой площадке (либо в составе предложения представить справку с указанием ссылки на ранее отправленные документы с обозначением номера и наименования закупочной процедуры, при условии актуальности представленных ранее данных).</w:t>
            </w:r>
          </w:p>
        </w:tc>
      </w:tr>
      <w:tr w:rsidR="00C73BD1" w:rsidRPr="00113DC2" w:rsidTr="00C73BD1">
        <w:trPr>
          <w:trHeight w:val="405"/>
        </w:trPr>
        <w:tc>
          <w:tcPr>
            <w:tcW w:w="9606" w:type="dxa"/>
            <w:shd w:val="clear" w:color="auto" w:fill="auto"/>
          </w:tcPr>
          <w:p w:rsidR="00C73BD1" w:rsidRPr="00113DC2" w:rsidRDefault="00C73BD1" w:rsidP="00765F9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b/>
                <w:sz w:val="24"/>
                <w:szCs w:val="24"/>
              </w:rPr>
              <w:t>2</w:t>
            </w:r>
            <w:r w:rsidRPr="00113DC2">
              <w:rPr>
                <w:sz w:val="24"/>
                <w:szCs w:val="24"/>
              </w:rPr>
              <w:t xml:space="preserve">. </w:t>
            </w:r>
            <w:proofErr w:type="gramStart"/>
            <w:r w:rsidRPr="00113DC2">
              <w:rPr>
                <w:sz w:val="24"/>
                <w:szCs w:val="24"/>
              </w:rPr>
              <w:t xml:space="preserve">В составе предложения отсутствует 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  обязательств по договорам, </w:t>
            </w:r>
            <w:r w:rsidRPr="00113DC2">
              <w:rPr>
                <w:sz w:val="24"/>
                <w:szCs w:val="24"/>
              </w:rPr>
              <w:lastRenderedPageBreak/>
              <w:t>в которых он выступает поставщиком (подрядчиком</w:t>
            </w:r>
            <w:proofErr w:type="gramEnd"/>
            <w:r w:rsidRPr="00113DC2">
              <w:rPr>
                <w:sz w:val="24"/>
                <w:szCs w:val="24"/>
              </w:rPr>
              <w:t>, исполнителем и т.п.) (за исключением случаев, когда неисполнение Участником договорных обязатель</w:t>
            </w:r>
            <w:proofErr w:type="gramStart"/>
            <w:r w:rsidRPr="00113DC2">
              <w:rPr>
                <w:sz w:val="24"/>
                <w:szCs w:val="24"/>
              </w:rPr>
              <w:t>ств ст</w:t>
            </w:r>
            <w:proofErr w:type="gramEnd"/>
            <w:r w:rsidRPr="00113DC2">
              <w:rPr>
                <w:sz w:val="24"/>
                <w:szCs w:val="24"/>
              </w:rPr>
              <w:t>ало результатом обстоятельств непреодолимой силы или действий/бездействия другой стороны по договору), что не соответствует подпункту 4 пункта 4.2.15 Закупочной документации, в котором установлено следующее требование: участник должен предоставить вышеуказанную справку.</w:t>
            </w:r>
          </w:p>
        </w:tc>
      </w:tr>
      <w:tr w:rsidR="00C73BD1" w:rsidRPr="00113DC2" w:rsidTr="00C73BD1">
        <w:trPr>
          <w:trHeight w:val="405"/>
        </w:trPr>
        <w:tc>
          <w:tcPr>
            <w:tcW w:w="9606" w:type="dxa"/>
            <w:shd w:val="clear" w:color="auto" w:fill="auto"/>
          </w:tcPr>
          <w:p w:rsidR="00C73BD1" w:rsidRPr="00113DC2" w:rsidRDefault="00C73BD1" w:rsidP="00765F9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b/>
                <w:sz w:val="24"/>
                <w:szCs w:val="24"/>
              </w:rPr>
              <w:lastRenderedPageBreak/>
              <w:t>3</w:t>
            </w:r>
            <w:r w:rsidRPr="00113DC2">
              <w:rPr>
                <w:sz w:val="24"/>
                <w:szCs w:val="24"/>
              </w:rPr>
              <w:t>. В составе предложения отсутствует справка налогового органа об исполнении обязанности по уплате налогов, сборов, взносов, пеней и штрафов, что не соответствует подпункту 5 пункта 4.2.15 Закупочной документации, в котором установлено следующее требование: участник должен представить вышеуказанную справку.</w:t>
            </w:r>
          </w:p>
        </w:tc>
      </w:tr>
      <w:tr w:rsidR="00C73BD1" w:rsidRPr="00113DC2" w:rsidTr="00C73BD1">
        <w:trPr>
          <w:trHeight w:val="405"/>
        </w:trPr>
        <w:tc>
          <w:tcPr>
            <w:tcW w:w="9606" w:type="dxa"/>
            <w:shd w:val="clear" w:color="auto" w:fill="auto"/>
          </w:tcPr>
          <w:p w:rsidR="00C73BD1" w:rsidRPr="00113DC2" w:rsidRDefault="00A467E1" w:rsidP="00765F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3BD1" w:rsidRPr="00113DC2">
              <w:rPr>
                <w:sz w:val="24"/>
                <w:szCs w:val="24"/>
              </w:rPr>
              <w:t>. В  представленном пакете документов отсутствуют сметные расчеты, что не соответствует условиям пункта 7.4. Технического задания и пункта  5.5 Закупочной документации, в которых установлено следующее требование: "в дополнение к Сводной таблице стоимости работ Участник предоставляет Сметную доку</w:t>
            </w:r>
            <w:r w:rsidR="00C73BD1">
              <w:rPr>
                <w:sz w:val="24"/>
                <w:szCs w:val="24"/>
              </w:rPr>
              <w:t>ментацию на выполняемые работы</w:t>
            </w:r>
            <w:r w:rsidR="00C73BD1" w:rsidRPr="00113DC2">
              <w:rPr>
                <w:sz w:val="24"/>
                <w:szCs w:val="24"/>
              </w:rPr>
              <w:t>".</w:t>
            </w:r>
          </w:p>
        </w:tc>
      </w:tr>
      <w:tr w:rsidR="00C73BD1" w:rsidRPr="00113DC2" w:rsidTr="00C73BD1">
        <w:trPr>
          <w:trHeight w:val="405"/>
        </w:trPr>
        <w:tc>
          <w:tcPr>
            <w:tcW w:w="9606" w:type="dxa"/>
            <w:shd w:val="clear" w:color="auto" w:fill="auto"/>
          </w:tcPr>
          <w:p w:rsidR="00C73BD1" w:rsidRPr="00113DC2" w:rsidRDefault="00A467E1" w:rsidP="00765F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73BD1" w:rsidRPr="00113DC2">
              <w:rPr>
                <w:sz w:val="24"/>
                <w:szCs w:val="24"/>
              </w:rPr>
              <w:t xml:space="preserve">. </w:t>
            </w:r>
            <w:proofErr w:type="gramStart"/>
            <w:r w:rsidR="00C73BD1" w:rsidRPr="00113DC2">
              <w:rPr>
                <w:sz w:val="24"/>
                <w:szCs w:val="24"/>
              </w:rPr>
              <w:t>Участником не представлено свидетельство СРО на виды работ, предусмотренные п. 6.1 Технического задания и п. 4.2.15 Закупочной документации, в которых установлено следующее требование: участник должен предоставить свидетельство СРО о допуске к определенному виду или видам работ, утвержденным Приказом Министерства регионального развития Российской Федерации от 30.12.2009 № 624 РФ от 30.12.2009 (ред. от 14.11.2011) «Об утверждении Перечня видов работ по инженерным изысканиям</w:t>
            </w:r>
            <w:proofErr w:type="gramEnd"/>
            <w:r w:rsidR="00C73BD1" w:rsidRPr="00113DC2">
              <w:rPr>
                <w:sz w:val="24"/>
                <w:szCs w:val="24"/>
              </w:rPr>
              <w:t>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      </w:r>
          </w:p>
        </w:tc>
      </w:tr>
      <w:tr w:rsidR="00C73BD1" w:rsidRPr="00113DC2" w:rsidTr="00C73BD1">
        <w:trPr>
          <w:trHeight w:val="405"/>
        </w:trPr>
        <w:tc>
          <w:tcPr>
            <w:tcW w:w="9606" w:type="dxa"/>
            <w:shd w:val="clear" w:color="auto" w:fill="auto"/>
          </w:tcPr>
          <w:p w:rsidR="00C73BD1" w:rsidRPr="00113DC2" w:rsidRDefault="00A467E1" w:rsidP="00765F95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73BD1" w:rsidRPr="00113DC2">
              <w:rPr>
                <w:sz w:val="24"/>
                <w:szCs w:val="24"/>
              </w:rPr>
              <w:t>. В  оферте участник предложил гарантию на своевременное и качественное выполнение работ, а также на устранение дефектов, возникших по вине Подрядчика -  24 месяца с момента приемки выполненных работ. Гарантию на материалы, поставляемые Подрядчиком 36 месяцев, что не соответствует условиям пункта 9.1 Технического задания, в котором установлено следующее  требование: «Гарантии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5 (пять) лет, при условии соблюдения Заказчиком правил эксплуатации сданного в эксплуатацию объекта</w:t>
            </w:r>
            <w:r w:rsidR="00C73BD1">
              <w:rPr>
                <w:sz w:val="24"/>
                <w:szCs w:val="24"/>
              </w:rPr>
              <w:t>».</w:t>
            </w:r>
          </w:p>
        </w:tc>
      </w:tr>
    </w:tbl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</w:p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3</w:t>
      </w:r>
    </w:p>
    <w:p w:rsidR="00C73BD1" w:rsidRPr="00113DC2" w:rsidRDefault="00C73BD1" w:rsidP="00C73BD1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szCs w:val="24"/>
        </w:rPr>
        <w:t xml:space="preserve">1.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предложения </w:t>
      </w:r>
      <w:r w:rsidRPr="00113DC2">
        <w:rPr>
          <w:b/>
          <w:i/>
          <w:szCs w:val="24"/>
        </w:rPr>
        <w:t>ООО «</w:t>
      </w:r>
      <w:proofErr w:type="gramStart"/>
      <w:r w:rsidRPr="00113DC2">
        <w:rPr>
          <w:b/>
          <w:i/>
          <w:szCs w:val="24"/>
        </w:rPr>
        <w:t>ЭК</w:t>
      </w:r>
      <w:proofErr w:type="gramEnd"/>
      <w:r w:rsidRPr="00113DC2">
        <w:rPr>
          <w:b/>
          <w:i/>
          <w:szCs w:val="24"/>
        </w:rPr>
        <w:t xml:space="preserve"> «Светотехника», г. Благовещенск, ООО  ФСК "</w:t>
      </w:r>
      <w:proofErr w:type="spellStart"/>
      <w:r w:rsidRPr="00113DC2">
        <w:rPr>
          <w:b/>
          <w:i/>
          <w:szCs w:val="24"/>
        </w:rPr>
        <w:t>Энергосоюз</w:t>
      </w:r>
      <w:proofErr w:type="spellEnd"/>
      <w:r w:rsidRPr="00113DC2">
        <w:rPr>
          <w:b/>
          <w:i/>
          <w:szCs w:val="24"/>
        </w:rPr>
        <w:t>", г. Благовещенск, ООО "НПО "</w:t>
      </w:r>
      <w:proofErr w:type="spellStart"/>
      <w:r w:rsidRPr="00113DC2">
        <w:rPr>
          <w:b/>
          <w:i/>
          <w:szCs w:val="24"/>
        </w:rPr>
        <w:t>Сибэлектрощит</w:t>
      </w:r>
      <w:proofErr w:type="spellEnd"/>
      <w:r w:rsidRPr="00113DC2">
        <w:rPr>
          <w:b/>
          <w:i/>
          <w:szCs w:val="24"/>
        </w:rPr>
        <w:t>"  г. Омск</w:t>
      </w:r>
      <w:r w:rsidRPr="00113DC2">
        <w:rPr>
          <w:color w:val="333333"/>
          <w:szCs w:val="24"/>
        </w:rPr>
        <w:t xml:space="preserve"> </w:t>
      </w:r>
      <w:r w:rsidRPr="00113DC2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</w:p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4</w:t>
      </w:r>
    </w:p>
    <w:p w:rsidR="00C73BD1" w:rsidRPr="00113DC2" w:rsidRDefault="00C73BD1" w:rsidP="00C73BD1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Утвердить</w:t>
      </w:r>
      <w:r w:rsidRPr="00113DC2">
        <w:rPr>
          <w:sz w:val="24"/>
          <w:szCs w:val="24"/>
        </w:rPr>
        <w:t xml:space="preserve"> </w:t>
      </w:r>
      <w:proofErr w:type="gramStart"/>
      <w:r w:rsidRPr="00113DC2">
        <w:rPr>
          <w:sz w:val="24"/>
          <w:szCs w:val="24"/>
        </w:rPr>
        <w:t>предварительную</w:t>
      </w:r>
      <w:proofErr w:type="gramEnd"/>
      <w:r w:rsidRPr="00113DC2">
        <w:rPr>
          <w:sz w:val="24"/>
          <w:szCs w:val="24"/>
        </w:rPr>
        <w:t xml:space="preserve"> </w:t>
      </w:r>
      <w:proofErr w:type="spellStart"/>
      <w:r w:rsidRPr="00113DC2">
        <w:rPr>
          <w:sz w:val="24"/>
          <w:szCs w:val="24"/>
        </w:rPr>
        <w:t>ранжировку</w:t>
      </w:r>
      <w:proofErr w:type="spellEnd"/>
      <w:r w:rsidRPr="00113DC2">
        <w:rPr>
          <w:sz w:val="24"/>
          <w:szCs w:val="24"/>
        </w:rPr>
        <w:t xml:space="preserve"> предложений: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843"/>
        <w:gridCol w:w="1275"/>
      </w:tblGrid>
      <w:tr w:rsidR="00C73BD1" w:rsidRPr="00C73BD1" w:rsidTr="00C73BD1">
        <w:tc>
          <w:tcPr>
            <w:tcW w:w="1418" w:type="dxa"/>
            <w:shd w:val="clear" w:color="auto" w:fill="auto"/>
          </w:tcPr>
          <w:p w:rsidR="00C73BD1" w:rsidRPr="00C73BD1" w:rsidRDefault="00C73BD1" w:rsidP="00765F9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3BD1">
              <w:rPr>
                <w:sz w:val="20"/>
              </w:rPr>
              <w:t xml:space="preserve">Место в </w:t>
            </w:r>
            <w:proofErr w:type="gramStart"/>
            <w:r w:rsidRPr="00C73BD1">
              <w:rPr>
                <w:sz w:val="20"/>
              </w:rPr>
              <w:t>предварительной</w:t>
            </w:r>
            <w:proofErr w:type="gramEnd"/>
            <w:r w:rsidRPr="00C73BD1">
              <w:rPr>
                <w:sz w:val="20"/>
              </w:rPr>
              <w:t xml:space="preserve"> </w:t>
            </w:r>
            <w:proofErr w:type="spellStart"/>
            <w:r w:rsidRPr="00C73BD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C73BD1" w:rsidRPr="00C73BD1" w:rsidRDefault="00C73BD1" w:rsidP="00765F9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3BD1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shd w:val="clear" w:color="auto" w:fill="auto"/>
          </w:tcPr>
          <w:p w:rsidR="00C73BD1" w:rsidRPr="00C73BD1" w:rsidRDefault="00C73BD1" w:rsidP="00765F9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73BD1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</w:tcPr>
          <w:p w:rsidR="00C73BD1" w:rsidRPr="00C73BD1" w:rsidRDefault="00C73BD1" w:rsidP="00765F9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3BD1">
              <w:rPr>
                <w:sz w:val="20"/>
              </w:rPr>
              <w:t>Балл по неценовой предпочтительности</w:t>
            </w:r>
          </w:p>
        </w:tc>
      </w:tr>
      <w:tr w:rsidR="00C73BD1" w:rsidRPr="00113DC2" w:rsidTr="00C73BD1">
        <w:tc>
          <w:tcPr>
            <w:tcW w:w="1418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gramStart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"</w:t>
            </w:r>
            <w:r w:rsidRPr="00113DC2">
              <w:rPr>
                <w:rFonts w:eastAsiaTheme="minorHAnsi"/>
                <w:sz w:val="24"/>
                <w:szCs w:val="24"/>
              </w:rPr>
              <w:t xml:space="preserve"> (644089, г. Омск, пр.</w:t>
            </w:r>
            <w:proofErr w:type="gramEnd"/>
            <w:r w:rsidRPr="00113DC2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113DC2">
              <w:rPr>
                <w:rFonts w:eastAsiaTheme="minorHAnsi"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3 808 101,00</w:t>
            </w:r>
          </w:p>
        </w:tc>
        <w:tc>
          <w:tcPr>
            <w:tcW w:w="1275" w:type="dxa"/>
          </w:tcPr>
          <w:p w:rsidR="00C73BD1" w:rsidRPr="00113DC2" w:rsidRDefault="00C73BD1" w:rsidP="00765F9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DC2">
              <w:rPr>
                <w:b/>
                <w:sz w:val="24"/>
                <w:szCs w:val="24"/>
              </w:rPr>
              <w:t>3,0</w:t>
            </w:r>
          </w:p>
        </w:tc>
      </w:tr>
      <w:tr w:rsidR="00C73BD1" w:rsidRPr="00113DC2" w:rsidTr="00C73BD1">
        <w:tc>
          <w:tcPr>
            <w:tcW w:w="1418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ООО ФСК "</w:t>
            </w:r>
            <w:proofErr w:type="spellStart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" (</w:t>
            </w:r>
            <w:r w:rsidRPr="00113DC2">
              <w:rPr>
                <w:rFonts w:eastAsiaTheme="minorHAnsi"/>
                <w:sz w:val="24"/>
                <w:szCs w:val="24"/>
              </w:rPr>
              <w:t>675007 Амурской области г. Благовещенск ул. Нагорная ,20/</w:t>
            </w:r>
            <w:proofErr w:type="gramStart"/>
            <w:r w:rsidRPr="00113DC2">
              <w:rPr>
                <w:rFonts w:eastAsiaTheme="minorHAnsi"/>
                <w:sz w:val="24"/>
                <w:szCs w:val="24"/>
              </w:rPr>
              <w:t>2</w:t>
            </w:r>
            <w:proofErr w:type="gramEnd"/>
            <w:r w:rsidRPr="00113DC2">
              <w:rPr>
                <w:rFonts w:eastAsiaTheme="minorHAnsi"/>
                <w:sz w:val="24"/>
                <w:szCs w:val="24"/>
              </w:rPr>
              <w:t xml:space="preserve"> а/я 18;)</w:t>
            </w:r>
          </w:p>
        </w:tc>
        <w:tc>
          <w:tcPr>
            <w:tcW w:w="1843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3 803 223,00</w:t>
            </w:r>
          </w:p>
        </w:tc>
        <w:tc>
          <w:tcPr>
            <w:tcW w:w="1275" w:type="dxa"/>
          </w:tcPr>
          <w:p w:rsidR="00C73BD1" w:rsidRPr="00113DC2" w:rsidRDefault="00C73BD1" w:rsidP="00765F9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DC2">
              <w:rPr>
                <w:b/>
                <w:sz w:val="24"/>
                <w:szCs w:val="24"/>
              </w:rPr>
              <w:t>2,82</w:t>
            </w:r>
          </w:p>
        </w:tc>
      </w:tr>
      <w:tr w:rsidR="00C73BD1" w:rsidRPr="00113DC2" w:rsidTr="00C73BD1">
        <w:tc>
          <w:tcPr>
            <w:tcW w:w="1418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gramStart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ООО "ЭК "СВЕТОТЕХНИКА"</w:t>
            </w:r>
            <w:r w:rsidRPr="00113DC2">
              <w:rPr>
                <w:rFonts w:eastAsiaTheme="minorHAnsi"/>
                <w:sz w:val="24"/>
                <w:szCs w:val="24"/>
              </w:rPr>
              <w:t xml:space="preserve"> (675029, Россия, Амурская обл., г. Благовещенск, ул. </w:t>
            </w:r>
            <w:r w:rsidRPr="00113DC2">
              <w:rPr>
                <w:rFonts w:eastAsiaTheme="minorHAnsi"/>
                <w:sz w:val="24"/>
                <w:szCs w:val="24"/>
              </w:rPr>
              <w:lastRenderedPageBreak/>
              <w:t>Артиллерийская, д. 116)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73BD1" w:rsidRPr="00113DC2" w:rsidRDefault="00C73BD1" w:rsidP="00765F95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13DC2">
              <w:rPr>
                <w:rFonts w:eastAsiaTheme="minorHAnsi"/>
                <w:b/>
                <w:i/>
                <w:sz w:val="24"/>
                <w:szCs w:val="24"/>
              </w:rPr>
              <w:lastRenderedPageBreak/>
              <w:t>3 672 862,00</w:t>
            </w:r>
          </w:p>
        </w:tc>
        <w:tc>
          <w:tcPr>
            <w:tcW w:w="1275" w:type="dxa"/>
          </w:tcPr>
          <w:p w:rsidR="00C73BD1" w:rsidRPr="00113DC2" w:rsidRDefault="00C73BD1" w:rsidP="00765F9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DC2">
              <w:rPr>
                <w:b/>
                <w:sz w:val="24"/>
                <w:szCs w:val="24"/>
              </w:rPr>
              <w:t>2,10</w:t>
            </w:r>
          </w:p>
        </w:tc>
      </w:tr>
    </w:tbl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</w:p>
    <w:p w:rsidR="00C73BD1" w:rsidRPr="00113DC2" w:rsidRDefault="00C73BD1" w:rsidP="00C73BD1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5</w:t>
      </w:r>
    </w:p>
    <w:p w:rsidR="00C73BD1" w:rsidRPr="00113DC2" w:rsidRDefault="00C73BD1" w:rsidP="00C73BD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Провести</w:t>
      </w:r>
      <w:r w:rsidRPr="00113DC2">
        <w:rPr>
          <w:sz w:val="24"/>
          <w:szCs w:val="24"/>
        </w:rPr>
        <w:t xml:space="preserve"> переторжку.</w:t>
      </w:r>
    </w:p>
    <w:p w:rsidR="00C73BD1" w:rsidRPr="00113DC2" w:rsidRDefault="00C73BD1" w:rsidP="00C73BD1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b/>
          <w:i/>
          <w:color w:val="333333"/>
          <w:sz w:val="24"/>
          <w:szCs w:val="24"/>
        </w:rPr>
      </w:pPr>
      <w:r w:rsidRPr="00113DC2">
        <w:rPr>
          <w:sz w:val="24"/>
          <w:szCs w:val="24"/>
        </w:rPr>
        <w:t>1.1</w:t>
      </w:r>
      <w:proofErr w:type="gramStart"/>
      <w:r w:rsidRPr="00113DC2">
        <w:rPr>
          <w:sz w:val="24"/>
          <w:szCs w:val="24"/>
        </w:rPr>
        <w:t xml:space="preserve"> Д</w:t>
      </w:r>
      <w:proofErr w:type="gramEnd"/>
      <w:r w:rsidRPr="00113DC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r w:rsidRPr="00113DC2">
        <w:rPr>
          <w:rFonts w:eastAsia="Times New Roman"/>
          <w:b/>
          <w:i/>
          <w:sz w:val="24"/>
          <w:szCs w:val="24"/>
        </w:rPr>
        <w:t xml:space="preserve">ООО «ЭК «Светотехника», </w:t>
      </w:r>
      <w:proofErr w:type="spellStart"/>
      <w:r w:rsidRPr="00113DC2">
        <w:rPr>
          <w:rFonts w:eastAsia="Times New Roman"/>
          <w:b/>
          <w:i/>
          <w:sz w:val="24"/>
          <w:szCs w:val="24"/>
        </w:rPr>
        <w:t>г</w:t>
      </w:r>
      <w:proofErr w:type="gramStart"/>
      <w:r w:rsidRPr="00113DC2">
        <w:rPr>
          <w:rFonts w:eastAsia="Times New Roman"/>
          <w:b/>
          <w:i/>
          <w:sz w:val="24"/>
          <w:szCs w:val="24"/>
        </w:rPr>
        <w:t>.Б</w:t>
      </w:r>
      <w:proofErr w:type="gramEnd"/>
      <w:r w:rsidRPr="00113DC2">
        <w:rPr>
          <w:rFonts w:eastAsia="Times New Roman"/>
          <w:b/>
          <w:i/>
          <w:sz w:val="24"/>
          <w:szCs w:val="24"/>
        </w:rPr>
        <w:t>лаговещенск</w:t>
      </w:r>
      <w:proofErr w:type="spellEnd"/>
      <w:r w:rsidRPr="00113DC2">
        <w:rPr>
          <w:rFonts w:eastAsia="Times New Roman"/>
          <w:b/>
          <w:i/>
          <w:sz w:val="24"/>
          <w:szCs w:val="24"/>
        </w:rPr>
        <w:t>, ООО  ФСК "</w:t>
      </w:r>
      <w:proofErr w:type="spellStart"/>
      <w:r w:rsidRPr="00113DC2">
        <w:rPr>
          <w:rFonts w:eastAsia="Times New Roman"/>
          <w:b/>
          <w:i/>
          <w:sz w:val="24"/>
          <w:szCs w:val="24"/>
        </w:rPr>
        <w:t>Энергосоюз</w:t>
      </w:r>
      <w:proofErr w:type="spellEnd"/>
      <w:r w:rsidRPr="00113DC2">
        <w:rPr>
          <w:rFonts w:eastAsia="Times New Roman"/>
          <w:b/>
          <w:i/>
          <w:sz w:val="24"/>
          <w:szCs w:val="24"/>
        </w:rPr>
        <w:t>", г. Благовещенск, ООО "</w:t>
      </w:r>
      <w:proofErr w:type="spellStart"/>
      <w:r w:rsidRPr="00113DC2">
        <w:rPr>
          <w:rFonts w:eastAsia="Times New Roman"/>
          <w:b/>
          <w:i/>
          <w:sz w:val="24"/>
          <w:szCs w:val="24"/>
        </w:rPr>
        <w:t>НПО"Сибэлектрощит</w:t>
      </w:r>
      <w:proofErr w:type="spellEnd"/>
      <w:r w:rsidRPr="00113DC2">
        <w:rPr>
          <w:rFonts w:eastAsia="Times New Roman"/>
          <w:b/>
          <w:i/>
          <w:sz w:val="24"/>
          <w:szCs w:val="24"/>
        </w:rPr>
        <w:t xml:space="preserve">"  г. Омск </w:t>
      </w:r>
    </w:p>
    <w:p w:rsidR="00C73BD1" w:rsidRPr="00113DC2" w:rsidRDefault="00C73BD1" w:rsidP="00C73BD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1.2</w:t>
      </w:r>
      <w:proofErr w:type="gramStart"/>
      <w:r w:rsidRPr="00113DC2">
        <w:rPr>
          <w:sz w:val="24"/>
          <w:szCs w:val="24"/>
        </w:rPr>
        <w:t xml:space="preserve">  О</w:t>
      </w:r>
      <w:proofErr w:type="gramEnd"/>
      <w:r w:rsidRPr="00113DC2">
        <w:rPr>
          <w:sz w:val="24"/>
          <w:szCs w:val="24"/>
        </w:rPr>
        <w:t xml:space="preserve">пределить форму переторжки: </w:t>
      </w:r>
      <w:r w:rsidRPr="00113DC2">
        <w:rPr>
          <w:b/>
          <w:sz w:val="24"/>
          <w:szCs w:val="24"/>
        </w:rPr>
        <w:t>заочная</w:t>
      </w:r>
      <w:r w:rsidRPr="00113DC2">
        <w:rPr>
          <w:b/>
          <w:i/>
          <w:sz w:val="24"/>
          <w:szCs w:val="24"/>
        </w:rPr>
        <w:t>;</w:t>
      </w:r>
    </w:p>
    <w:p w:rsidR="00C73BD1" w:rsidRPr="00113DC2" w:rsidRDefault="00C73BD1" w:rsidP="00C73BD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1.3 Назначить переторжку на 29.05.2015 г. до 10:00 час</w:t>
      </w:r>
      <w:proofErr w:type="gramStart"/>
      <w:r w:rsidRPr="00113DC2">
        <w:rPr>
          <w:sz w:val="24"/>
          <w:szCs w:val="24"/>
        </w:rPr>
        <w:t>.</w:t>
      </w:r>
      <w:proofErr w:type="gramEnd"/>
      <w:r w:rsidRPr="00113DC2">
        <w:rPr>
          <w:sz w:val="24"/>
          <w:szCs w:val="24"/>
        </w:rPr>
        <w:t xml:space="preserve"> (</w:t>
      </w:r>
      <w:proofErr w:type="gramStart"/>
      <w:r w:rsidRPr="00113DC2">
        <w:rPr>
          <w:sz w:val="24"/>
          <w:szCs w:val="24"/>
        </w:rPr>
        <w:t>м</w:t>
      </w:r>
      <w:proofErr w:type="gramEnd"/>
      <w:r w:rsidRPr="00113DC2">
        <w:rPr>
          <w:sz w:val="24"/>
          <w:szCs w:val="24"/>
        </w:rPr>
        <w:t xml:space="preserve">естного времени); </w:t>
      </w:r>
    </w:p>
    <w:p w:rsidR="00C73BD1" w:rsidRPr="00113DC2" w:rsidRDefault="00C73BD1" w:rsidP="00C73BD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C73BD1" w:rsidRPr="00113DC2" w:rsidRDefault="00C73BD1" w:rsidP="00C73BD1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816DF" w:rsidRPr="008E25CC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A6" w:rsidRDefault="00AB4CA6" w:rsidP="00355095">
      <w:pPr>
        <w:spacing w:line="240" w:lineRule="auto"/>
      </w:pPr>
      <w:r>
        <w:separator/>
      </w:r>
    </w:p>
  </w:endnote>
  <w:endnote w:type="continuationSeparator" w:id="0">
    <w:p w:rsidR="00AB4CA6" w:rsidRDefault="00AB4C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44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44B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A6" w:rsidRDefault="00AB4CA6" w:rsidP="00355095">
      <w:pPr>
        <w:spacing w:line="240" w:lineRule="auto"/>
      </w:pPr>
      <w:r>
        <w:separator/>
      </w:r>
    </w:p>
  </w:footnote>
  <w:footnote w:type="continuationSeparator" w:id="0">
    <w:p w:rsidR="00AB4CA6" w:rsidRDefault="00AB4C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3BD1">
      <w:rPr>
        <w:i/>
        <w:sz w:val="20"/>
      </w:rPr>
      <w:t>812</w:t>
    </w:r>
    <w:r w:rsidR="00D816DF">
      <w:rPr>
        <w:i/>
        <w:sz w:val="20"/>
      </w:rPr>
      <w:t xml:space="preserve"> р. </w:t>
    </w:r>
    <w:r w:rsidR="00C73BD1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67E1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1F4F-051A-4258-9464-D1216EA0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51</cp:revision>
  <cp:lastPrinted>2015-05-25T23:14:00Z</cp:lastPrinted>
  <dcterms:created xsi:type="dcterms:W3CDTF">2014-09-03T05:40:00Z</dcterms:created>
  <dcterms:modified xsi:type="dcterms:W3CDTF">2015-05-27T04:30:00Z</dcterms:modified>
</cp:coreProperties>
</file>