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5136C">
        <w:rPr>
          <w:rFonts w:cs="Arial"/>
          <w:b/>
          <w:bCs/>
          <w:iCs/>
          <w:snapToGrid/>
          <w:spacing w:val="40"/>
          <w:sz w:val="36"/>
          <w:szCs w:val="36"/>
        </w:rPr>
        <w:t>431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A5136C" w:rsidRPr="00DA265F" w:rsidRDefault="00A5136C" w:rsidP="00A5136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47F3E">
        <w:rPr>
          <w:b/>
          <w:bCs/>
          <w:i/>
          <w:sz w:val="26"/>
          <w:szCs w:val="26"/>
        </w:rPr>
        <w:t>Замена измерительных трансформаторов тока и напряжения филиала ХЭС</w:t>
      </w:r>
      <w:r w:rsidRPr="00DA265F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833</w:t>
      </w:r>
      <w:r w:rsidRPr="00DA265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DA265F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2.2</w:t>
      </w:r>
      <w:r w:rsidRPr="00DA265F">
        <w:rPr>
          <w:b/>
          <w:bCs/>
          <w:sz w:val="26"/>
          <w:szCs w:val="26"/>
        </w:rPr>
        <w:t>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F01B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F01B2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1B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2F197D" w:rsidRPr="00226D52" w:rsidRDefault="002F197D" w:rsidP="002F197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1:</w:t>
      </w:r>
    </w:p>
    <w:p w:rsidR="002F197D" w:rsidRDefault="002F197D" w:rsidP="002F197D">
      <w:pPr>
        <w:pStyle w:val="25"/>
        <w:keepNext/>
        <w:numPr>
          <w:ilvl w:val="1"/>
          <w:numId w:val="37"/>
        </w:numPr>
        <w:tabs>
          <w:tab w:val="left" w:pos="426"/>
        </w:tabs>
        <w:ind w:left="426"/>
        <w:rPr>
          <w:szCs w:val="24"/>
        </w:rPr>
      </w:pPr>
      <w:r w:rsidRPr="00226D52">
        <w:rPr>
          <w:szCs w:val="24"/>
        </w:rPr>
        <w:t>Признать объем полученной информации достаточным для принятия решения.</w:t>
      </w:r>
    </w:p>
    <w:p w:rsidR="002F197D" w:rsidRPr="00226D52" w:rsidRDefault="002F197D" w:rsidP="002F197D">
      <w:pPr>
        <w:pStyle w:val="25"/>
        <w:keepNext/>
        <w:numPr>
          <w:ilvl w:val="1"/>
          <w:numId w:val="37"/>
        </w:numPr>
        <w:tabs>
          <w:tab w:val="left" w:pos="426"/>
        </w:tabs>
        <w:ind w:left="426"/>
        <w:rPr>
          <w:szCs w:val="24"/>
        </w:rPr>
      </w:pPr>
      <w:r w:rsidRPr="00226D52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7"/>
      </w:tblGrid>
      <w:tr w:rsidR="00A5136C" w:rsidRPr="001B390A" w:rsidTr="00F246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B390A">
              <w:rPr>
                <w:b/>
                <w:bCs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B390A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1B390A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A5136C" w:rsidRPr="001B390A" w:rsidTr="00F246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ООО "</w:t>
            </w:r>
            <w:proofErr w:type="spellStart"/>
            <w:r w:rsidRPr="001B390A">
              <w:rPr>
                <w:sz w:val="24"/>
                <w:szCs w:val="24"/>
              </w:rPr>
              <w:t>Дальтрансэлектроналадка</w:t>
            </w:r>
            <w:proofErr w:type="spellEnd"/>
            <w:r w:rsidRPr="001B390A">
              <w:rPr>
                <w:sz w:val="24"/>
                <w:szCs w:val="24"/>
              </w:rPr>
              <w:t>" (680009, Россия, Хабаровский край, г. Хабаровск, ул. Большая, д. 12, оф. 6)</w:t>
            </w:r>
          </w:p>
        </w:tc>
        <w:tc>
          <w:tcPr>
            <w:tcW w:w="0" w:type="auto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Предложение: подано 05.05.2015 в 15:49</w:t>
            </w:r>
            <w:r w:rsidRPr="001B390A">
              <w:rPr>
                <w:sz w:val="24"/>
                <w:szCs w:val="24"/>
              </w:rPr>
              <w:br/>
              <w:t>Цена: 2 836 873,00 руб. (цена без НДС)</w:t>
            </w:r>
          </w:p>
        </w:tc>
      </w:tr>
      <w:tr w:rsidR="00A5136C" w:rsidRPr="001B390A" w:rsidTr="00F246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"ЭТК </w:t>
            </w:r>
            <w:proofErr w:type="spellStart"/>
            <w:r w:rsidRPr="001B390A">
              <w:rPr>
                <w:sz w:val="24"/>
                <w:szCs w:val="24"/>
              </w:rPr>
              <w:t>Энерготранс</w:t>
            </w:r>
            <w:proofErr w:type="spellEnd"/>
            <w:r w:rsidRPr="001B390A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1B390A">
              <w:rPr>
                <w:sz w:val="24"/>
                <w:szCs w:val="24"/>
              </w:rPr>
              <w:t>Трехгорная</w:t>
            </w:r>
            <w:proofErr w:type="gramEnd"/>
            <w:r w:rsidRPr="001B390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Предложение: подано 05.05.2015 в 15:43</w:t>
            </w:r>
            <w:r w:rsidRPr="001B390A">
              <w:rPr>
                <w:sz w:val="24"/>
                <w:szCs w:val="24"/>
              </w:rPr>
              <w:br/>
              <w:t>Цена: 2 892 000,00 руб. (цена без НДС)</w:t>
            </w:r>
          </w:p>
        </w:tc>
      </w:tr>
      <w:tr w:rsidR="00A5136C" w:rsidRPr="001B390A" w:rsidTr="00F246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1B390A">
              <w:rPr>
                <w:sz w:val="24"/>
                <w:szCs w:val="24"/>
              </w:rPr>
              <w:t>пр-кт</w:t>
            </w:r>
            <w:proofErr w:type="spellEnd"/>
            <w:r w:rsidRPr="001B390A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0" w:type="auto"/>
            <w:shd w:val="clear" w:color="auto" w:fill="FFFFFF"/>
            <w:hideMark/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Предложение: подано 05.05.2015 в 08:43</w:t>
            </w:r>
            <w:r w:rsidRPr="001B390A">
              <w:rPr>
                <w:sz w:val="24"/>
                <w:szCs w:val="24"/>
              </w:rPr>
              <w:br/>
              <w:t>Цена: 3 267 575,22 руб. (цена без НДС)</w:t>
            </w:r>
          </w:p>
        </w:tc>
      </w:tr>
    </w:tbl>
    <w:p w:rsidR="002F197D" w:rsidRDefault="002F197D" w:rsidP="002F1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A5136C" w:rsidRPr="00226D52" w:rsidRDefault="00A5136C" w:rsidP="00A5136C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A5136C" w:rsidRDefault="00A5136C" w:rsidP="00A5136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592890">
        <w:rPr>
          <w:sz w:val="24"/>
          <w:szCs w:val="24"/>
        </w:rPr>
        <w:t>.1</w:t>
      </w:r>
      <w:proofErr w:type="gramStart"/>
      <w:r>
        <w:rPr>
          <w:b/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1B390A">
        <w:rPr>
          <w:sz w:val="24"/>
          <w:szCs w:val="24"/>
        </w:rPr>
        <w:t>ООО "</w:t>
      </w:r>
      <w:proofErr w:type="spellStart"/>
      <w:r w:rsidRPr="001B390A">
        <w:rPr>
          <w:sz w:val="24"/>
          <w:szCs w:val="24"/>
        </w:rPr>
        <w:t>Дальтрансэлектроналадка</w:t>
      </w:r>
      <w:proofErr w:type="spellEnd"/>
      <w:r w:rsidRPr="001B390A">
        <w:rPr>
          <w:sz w:val="24"/>
          <w:szCs w:val="24"/>
        </w:rPr>
        <w:t>" (680009, Россия, Хабаровский край, г. Хабаровск, ул. Большая, д. 12, оф. 6)</w:t>
      </w:r>
      <w:r>
        <w:rPr>
          <w:sz w:val="24"/>
          <w:szCs w:val="24"/>
        </w:rPr>
        <w:t xml:space="preserve">, </w:t>
      </w:r>
      <w:r w:rsidRPr="001B390A">
        <w:rPr>
          <w:sz w:val="24"/>
          <w:szCs w:val="24"/>
        </w:rPr>
        <w:t xml:space="preserve">ООО "ЭТК </w:t>
      </w:r>
      <w:proofErr w:type="spellStart"/>
      <w:r w:rsidRPr="001B390A">
        <w:rPr>
          <w:sz w:val="24"/>
          <w:szCs w:val="24"/>
        </w:rPr>
        <w:t>Энерготранс</w:t>
      </w:r>
      <w:proofErr w:type="spellEnd"/>
      <w:r w:rsidRPr="001B390A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1B390A">
        <w:rPr>
          <w:sz w:val="24"/>
          <w:szCs w:val="24"/>
        </w:rPr>
        <w:t xml:space="preserve">ООО "НЭМК" (664050, Иркутская обл., </w:t>
      </w:r>
      <w:proofErr w:type="spellStart"/>
      <w:r w:rsidRPr="001B390A">
        <w:rPr>
          <w:sz w:val="24"/>
          <w:szCs w:val="24"/>
        </w:rPr>
        <w:t>пр-кт</w:t>
      </w:r>
      <w:proofErr w:type="spellEnd"/>
      <w:r w:rsidRPr="001B390A">
        <w:rPr>
          <w:sz w:val="24"/>
          <w:szCs w:val="24"/>
        </w:rPr>
        <w:t xml:space="preserve"> Маршала Жукова, 15/5, оф. 9)</w:t>
      </w:r>
      <w:r w:rsidRPr="00226D52">
        <w:rPr>
          <w:sz w:val="24"/>
          <w:szCs w:val="24"/>
        </w:rPr>
        <w:t xml:space="preserve"> соответствующими условиям закупки.</w:t>
      </w:r>
    </w:p>
    <w:p w:rsidR="00A5136C" w:rsidRPr="00615751" w:rsidRDefault="00A5136C" w:rsidP="00A5136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A5136C" w:rsidRPr="00226D52" w:rsidRDefault="00A5136C" w:rsidP="00A5136C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A5136C" w:rsidRDefault="00A5136C" w:rsidP="00A5136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p w:rsidR="00A5136C" w:rsidRPr="00226D52" w:rsidRDefault="00A5136C" w:rsidP="00A5136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A5136C" w:rsidRPr="006B33E9" w:rsidTr="00F246F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C" w:rsidRPr="006B33E9" w:rsidRDefault="00A5136C" w:rsidP="00F246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C" w:rsidRPr="006B33E9" w:rsidRDefault="00A5136C" w:rsidP="00F246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C" w:rsidRPr="006B33E9" w:rsidRDefault="00A5136C" w:rsidP="00F246F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C" w:rsidRPr="006B33E9" w:rsidRDefault="00A5136C" w:rsidP="00F246FB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5136C" w:rsidRPr="00CF48BD" w:rsidTr="00F246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C" w:rsidRPr="00226D52" w:rsidRDefault="00A5136C" w:rsidP="00F246F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ООО "</w:t>
            </w:r>
            <w:proofErr w:type="spellStart"/>
            <w:r w:rsidRPr="001B390A">
              <w:rPr>
                <w:sz w:val="24"/>
                <w:szCs w:val="24"/>
              </w:rPr>
              <w:t>Дальтрансэлектроналадка</w:t>
            </w:r>
            <w:proofErr w:type="spellEnd"/>
            <w:r w:rsidRPr="001B390A">
              <w:rPr>
                <w:sz w:val="24"/>
                <w:szCs w:val="24"/>
              </w:rPr>
              <w:t>" (680009, Россия, Хабаровский край, г. Хабаровск, ул. Большая, д. 12, оф.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3F2403" w:rsidRDefault="00A5136C" w:rsidP="00F246FB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2 836 873,00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(3 347 510,14 руб. с НДС)</w:t>
            </w:r>
          </w:p>
          <w:p w:rsidR="00A5136C" w:rsidRPr="00226D52" w:rsidRDefault="00A5136C" w:rsidP="00F246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226D52" w:rsidRDefault="00A5136C" w:rsidP="00F246FB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A5136C" w:rsidRPr="00CF48BD" w:rsidTr="00F246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6C" w:rsidRPr="00226D52" w:rsidRDefault="00A5136C" w:rsidP="00F246F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"ЭТК </w:t>
            </w:r>
            <w:proofErr w:type="spellStart"/>
            <w:r w:rsidRPr="001B390A">
              <w:rPr>
                <w:sz w:val="24"/>
                <w:szCs w:val="24"/>
              </w:rPr>
              <w:t>Энерготранс</w:t>
            </w:r>
            <w:proofErr w:type="spellEnd"/>
            <w:r w:rsidRPr="001B390A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1B390A">
              <w:rPr>
                <w:sz w:val="24"/>
                <w:szCs w:val="24"/>
              </w:rPr>
              <w:t>Трехгорная</w:t>
            </w:r>
            <w:proofErr w:type="gramEnd"/>
            <w:r w:rsidRPr="001B390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B47F3E" w:rsidRDefault="00A5136C" w:rsidP="00F246FB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2 892 000,00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(3 412 560,0 руб. с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226D52" w:rsidRDefault="00A5136C" w:rsidP="00F246FB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A5136C" w:rsidRPr="00CF48BD" w:rsidTr="00F246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226D52" w:rsidRDefault="00A5136C" w:rsidP="00F246F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1B390A" w:rsidRDefault="00A5136C" w:rsidP="00F24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1B390A">
              <w:rPr>
                <w:sz w:val="24"/>
                <w:szCs w:val="24"/>
              </w:rPr>
              <w:t>пр-кт</w:t>
            </w:r>
            <w:proofErr w:type="spellEnd"/>
            <w:r w:rsidRPr="001B390A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B47F3E" w:rsidRDefault="00A5136C" w:rsidP="00F246FB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3 267 575,22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(3 855 738,76 руб. с НДС</w:t>
            </w:r>
            <w:r w:rsidRPr="003F240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6C" w:rsidRPr="00226D52" w:rsidRDefault="00A5136C" w:rsidP="00F246FB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A5136C" w:rsidRDefault="00A5136C" w:rsidP="00A5136C">
      <w:pPr>
        <w:spacing w:line="240" w:lineRule="auto"/>
        <w:rPr>
          <w:b/>
          <w:sz w:val="26"/>
          <w:szCs w:val="26"/>
        </w:rPr>
      </w:pPr>
    </w:p>
    <w:p w:rsidR="00A5136C" w:rsidRPr="00BF0B1E" w:rsidRDefault="00A5136C" w:rsidP="00A5136C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A5136C" w:rsidRPr="00615751" w:rsidRDefault="00A5136C" w:rsidP="00A5136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Провести переторжку. </w:t>
      </w:r>
    </w:p>
    <w:p w:rsidR="00A5136C" w:rsidRPr="00615751" w:rsidRDefault="00A5136C" w:rsidP="00A5136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Допустить к </w:t>
      </w:r>
      <w:r w:rsidRPr="00760D4A">
        <w:rPr>
          <w:sz w:val="24"/>
          <w:szCs w:val="24"/>
        </w:rPr>
        <w:t>участию</w:t>
      </w:r>
      <w:r w:rsidRPr="00615751">
        <w:rPr>
          <w:sz w:val="24"/>
          <w:szCs w:val="24"/>
        </w:rPr>
        <w:t xml:space="preserve"> в переторжке предложения следующих участников: </w:t>
      </w:r>
      <w:r w:rsidRPr="001B390A">
        <w:rPr>
          <w:sz w:val="24"/>
          <w:szCs w:val="24"/>
        </w:rPr>
        <w:t>ООО "</w:t>
      </w:r>
      <w:proofErr w:type="spellStart"/>
      <w:r w:rsidRPr="001B390A">
        <w:rPr>
          <w:sz w:val="24"/>
          <w:szCs w:val="24"/>
        </w:rPr>
        <w:t>Дальтрансэлектроналадка</w:t>
      </w:r>
      <w:proofErr w:type="spellEnd"/>
      <w:r w:rsidRPr="001B390A">
        <w:rPr>
          <w:sz w:val="24"/>
          <w:szCs w:val="24"/>
        </w:rPr>
        <w:t>" (680009, Россия, Хабаровский край, г. Хабаровск, ул. Большая, д. 12, оф. 6)</w:t>
      </w:r>
      <w:r>
        <w:rPr>
          <w:sz w:val="24"/>
          <w:szCs w:val="24"/>
        </w:rPr>
        <w:t xml:space="preserve">, </w:t>
      </w:r>
      <w:r w:rsidRPr="001B390A">
        <w:rPr>
          <w:sz w:val="24"/>
          <w:szCs w:val="24"/>
        </w:rPr>
        <w:t xml:space="preserve">ООО "ЭТК </w:t>
      </w:r>
      <w:proofErr w:type="spellStart"/>
      <w:r w:rsidRPr="001B390A">
        <w:rPr>
          <w:sz w:val="24"/>
          <w:szCs w:val="24"/>
        </w:rPr>
        <w:t>Энерготранс</w:t>
      </w:r>
      <w:proofErr w:type="spellEnd"/>
      <w:r w:rsidRPr="001B390A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1B390A">
        <w:rPr>
          <w:sz w:val="24"/>
          <w:szCs w:val="24"/>
        </w:rPr>
        <w:t xml:space="preserve">ООО "НЭМК" (664050, Иркутская обл., </w:t>
      </w:r>
      <w:proofErr w:type="spellStart"/>
      <w:r w:rsidRPr="001B390A">
        <w:rPr>
          <w:sz w:val="24"/>
          <w:szCs w:val="24"/>
        </w:rPr>
        <w:t>пр-кт</w:t>
      </w:r>
      <w:proofErr w:type="spellEnd"/>
      <w:r w:rsidRPr="001B390A">
        <w:rPr>
          <w:sz w:val="24"/>
          <w:szCs w:val="24"/>
        </w:rPr>
        <w:t xml:space="preserve"> Маршала Жукова, 15/5, оф. 9)</w:t>
      </w:r>
      <w:r w:rsidRPr="00615751">
        <w:rPr>
          <w:sz w:val="24"/>
          <w:szCs w:val="24"/>
        </w:rPr>
        <w:t>.</w:t>
      </w:r>
    </w:p>
    <w:p w:rsidR="00A5136C" w:rsidRPr="00615751" w:rsidRDefault="00A5136C" w:rsidP="00A5136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Определить форму переторжки: </w:t>
      </w:r>
      <w:proofErr w:type="gramStart"/>
      <w:r w:rsidRPr="00615751">
        <w:rPr>
          <w:sz w:val="24"/>
          <w:szCs w:val="24"/>
        </w:rPr>
        <w:t>заочная</w:t>
      </w:r>
      <w:proofErr w:type="gramEnd"/>
      <w:r w:rsidRPr="00615751">
        <w:rPr>
          <w:sz w:val="24"/>
          <w:szCs w:val="24"/>
        </w:rPr>
        <w:t>.</w:t>
      </w:r>
    </w:p>
    <w:p w:rsidR="00A5136C" w:rsidRPr="00615751" w:rsidRDefault="00A5136C" w:rsidP="00A5136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переторжку на 20.05.2015 в 10</w:t>
      </w:r>
      <w:r w:rsidRPr="00615751">
        <w:rPr>
          <w:sz w:val="24"/>
          <w:szCs w:val="24"/>
        </w:rPr>
        <w:t>:00 час</w:t>
      </w:r>
      <w:proofErr w:type="gramStart"/>
      <w:r w:rsidRPr="00615751">
        <w:rPr>
          <w:sz w:val="24"/>
          <w:szCs w:val="24"/>
        </w:rPr>
        <w:t>.</w:t>
      </w:r>
      <w:proofErr w:type="gramEnd"/>
      <w:r w:rsidRPr="00615751">
        <w:rPr>
          <w:sz w:val="24"/>
          <w:szCs w:val="24"/>
        </w:rPr>
        <w:t xml:space="preserve"> (</w:t>
      </w:r>
      <w:proofErr w:type="gramStart"/>
      <w:r w:rsidRPr="00615751">
        <w:rPr>
          <w:sz w:val="24"/>
          <w:szCs w:val="24"/>
        </w:rPr>
        <w:t>б</w:t>
      </w:r>
      <w:proofErr w:type="gramEnd"/>
      <w:r w:rsidRPr="00615751">
        <w:rPr>
          <w:sz w:val="24"/>
          <w:szCs w:val="24"/>
        </w:rPr>
        <w:t>лаговещенского времени).</w:t>
      </w:r>
    </w:p>
    <w:p w:rsidR="00A5136C" w:rsidRPr="00615751" w:rsidRDefault="00A5136C" w:rsidP="00A5136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615751">
          <w:rPr>
            <w:sz w:val="24"/>
            <w:szCs w:val="24"/>
          </w:rPr>
          <w:t>www.b2b-energo.ru</w:t>
        </w:r>
      </w:hyperlink>
      <w:r w:rsidRPr="00615751">
        <w:rPr>
          <w:sz w:val="24"/>
          <w:szCs w:val="24"/>
        </w:rPr>
        <w:t xml:space="preserve"> </w:t>
      </w:r>
    </w:p>
    <w:p w:rsidR="00A5136C" w:rsidRPr="00615751" w:rsidRDefault="00A5136C" w:rsidP="00A5136C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304654" w:rsidRPr="002F197D" w:rsidRDefault="00304654" w:rsidP="0030465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4F01B2">
      <w:headerReference w:type="default" r:id="rId11"/>
      <w:footerReference w:type="default" r:id="rId12"/>
      <w:pgSz w:w="11906" w:h="16838"/>
      <w:pgMar w:top="966" w:right="851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FA" w:rsidRDefault="003D4BFA" w:rsidP="00355095">
      <w:pPr>
        <w:spacing w:line="240" w:lineRule="auto"/>
      </w:pPr>
      <w:r>
        <w:separator/>
      </w:r>
    </w:p>
  </w:endnote>
  <w:endnote w:type="continuationSeparator" w:id="0">
    <w:p w:rsidR="003D4BFA" w:rsidRDefault="003D4B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30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30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FA" w:rsidRDefault="003D4BFA" w:rsidP="00355095">
      <w:pPr>
        <w:spacing w:line="240" w:lineRule="auto"/>
      </w:pPr>
      <w:r>
        <w:separator/>
      </w:r>
    </w:p>
  </w:footnote>
  <w:footnote w:type="continuationSeparator" w:id="0">
    <w:p w:rsidR="003D4BFA" w:rsidRDefault="003D4B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5136C">
      <w:rPr>
        <w:i/>
        <w:sz w:val="20"/>
      </w:rPr>
      <w:t>833</w:t>
    </w:r>
    <w:r w:rsidR="004F01B2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A5136C">
      <w:rPr>
        <w:i/>
        <w:sz w:val="20"/>
      </w:rPr>
      <w:t>2.2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177FF5"/>
    <w:multiLevelType w:val="multilevel"/>
    <w:tmpl w:val="66DC8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multilevel"/>
    <w:tmpl w:val="7166D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8"/>
  </w:num>
  <w:num w:numId="35">
    <w:abstractNumId w:val="25"/>
  </w:num>
  <w:num w:numId="36">
    <w:abstractNumId w:val="22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268EA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197D"/>
    <w:rsid w:val="003028C9"/>
    <w:rsid w:val="0030410E"/>
    <w:rsid w:val="0030465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4BF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01B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469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694F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136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195E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6470"/>
    <w:rsid w:val="00EA7C56"/>
    <w:rsid w:val="00EB0EC9"/>
    <w:rsid w:val="00EB30F7"/>
    <w:rsid w:val="00EC2501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C414-05B7-4753-9BE2-307ECA95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2015-05-18T02:07:00Z</cp:lastPrinted>
  <dcterms:created xsi:type="dcterms:W3CDTF">2015-03-25T00:16:00Z</dcterms:created>
  <dcterms:modified xsi:type="dcterms:W3CDTF">2015-05-18T05:12:00Z</dcterms:modified>
</cp:coreProperties>
</file>