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0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0D15" w:rsidP="00A40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40D15" w:rsidRPr="00A40D15" w:rsidRDefault="00A40D15" w:rsidP="00A40D1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технологическому прис</w:t>
      </w:r>
      <w:bookmarkStart w:id="0" w:name="_GoBack"/>
      <w:bookmarkEnd w:id="0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оединению заявителей к электрическим сетям напряжением до 20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D15" w:rsidRPr="00A40D15" w:rsidRDefault="00A40D15" w:rsidP="00A40D1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9 «Мероприятия по технологическому присоединению заявителей к электрическим сетям напряжением до 20кВ на территории СП «ПЮЭС» (г. Фокино, г. Большой камень, п. Суходол);</w:t>
      </w:r>
    </w:p>
    <w:p w:rsidR="00A40D15" w:rsidRPr="00A40D15" w:rsidRDefault="00A40D15" w:rsidP="00A40D1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10 «Мероприятия по технологическому присоединению заявителей к электрическим сетям напряжением до 20кВ на территории СП «ПЮЭС» (Партизанский район д. Ястребовка, г.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Партизанск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Екатеринославка, с.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Хмыловка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д.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Кирилловка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Волчанец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Тигровое, с.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Фроловка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Молчановка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Лазовский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с.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Киевка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); </w:t>
      </w:r>
    </w:p>
    <w:p w:rsidR="00A40D15" w:rsidRPr="00A40D15" w:rsidRDefault="00A40D15" w:rsidP="00A40D1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11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Надеждинский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урочище «Полигон», п. Новый, урочище «Соловей ключ», с/т «Оникс», урочище «Мирное»,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п.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Штыково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Многоудобное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д. Новая Москва); </w:t>
      </w:r>
      <w:proofErr w:type="gramEnd"/>
    </w:p>
    <w:p w:rsidR="00A40D15" w:rsidRPr="00A40D15" w:rsidRDefault="00A40D15" w:rsidP="00A40D1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12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Хасанский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</w:t>
      </w:r>
      <w:proofErr w:type="gram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Андреевка, с. Перевозное).</w:t>
      </w:r>
    </w:p>
    <w:p w:rsidR="00A40D15" w:rsidRPr="00A40D15" w:rsidRDefault="00A40D15" w:rsidP="00A40D1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</w:t>
      </w:r>
      <w:proofErr w:type="spellStart"/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78 лот 9,10,11,12.  </w:t>
      </w:r>
    </w:p>
    <w:p w:rsidR="00A40D15" w:rsidRPr="00A40D15" w:rsidRDefault="00A40D15" w:rsidP="00A40D1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A40D15" w:rsidRPr="00A40D15" w:rsidRDefault="00A40D15" w:rsidP="00A40D1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9- 3 597 290,00 руб. без учета НДС; </w:t>
      </w:r>
    </w:p>
    <w:p w:rsidR="00A40D15" w:rsidRPr="00A40D15" w:rsidRDefault="00A40D15" w:rsidP="00A40D1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10- 4 098 720,00 руб. без учета НДС;</w:t>
      </w:r>
    </w:p>
    <w:p w:rsidR="00A40D15" w:rsidRPr="00A40D15" w:rsidRDefault="00A40D15" w:rsidP="00A40D1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11 – 4 555 960,00 руб. без учета НДС;</w:t>
      </w:r>
    </w:p>
    <w:p w:rsidR="00650276" w:rsidRPr="00650276" w:rsidRDefault="00A40D15" w:rsidP="00A40D1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12 – 972 310,00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40D15" w:rsidRPr="00A40D15" w:rsidRDefault="00A40D15" w:rsidP="00A40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7 (семь) Предложений на участие в закупке, с которыми были размещены в электронном виде на Торговой площадке Системы www.b2b-energo.ru.</w:t>
      </w:r>
    </w:p>
    <w:p w:rsidR="00A40D15" w:rsidRPr="00A40D15" w:rsidRDefault="00A40D15" w:rsidP="00A40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40D15" w:rsidRPr="00A40D15" w:rsidRDefault="00A40D15" w:rsidP="00A40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25.03.2015</w:t>
      </w:r>
    </w:p>
    <w:p w:rsidR="00A40D15" w:rsidRPr="00A40D15" w:rsidRDefault="00A40D15" w:rsidP="00A40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40D15" w:rsidRPr="00A40D15" w:rsidRDefault="00A40D15" w:rsidP="00A40D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6"/>
        <w:tblW w:w="96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309"/>
        <w:gridCol w:w="4821"/>
      </w:tblGrid>
      <w:tr w:rsidR="00A40D15" w:rsidRPr="00A40D15" w:rsidTr="00A40D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A40D1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A40D1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A40D1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A40D1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A40D1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A40D15" w:rsidRPr="00A40D15" w:rsidTr="00A40D15">
        <w:trPr>
          <w:trHeight w:val="423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Лот 9 «Мероприятия по технологическому присоединению заявителей к электрическим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сетям напряжением до 20кВ на территории СП «ПЮЭС» (г. Фокино, г. Большой камень, п. Суходол)</w:t>
            </w:r>
          </w:p>
        </w:tc>
      </w:tr>
      <w:tr w:rsidR="00A40D15" w:rsidRPr="00A40D15" w:rsidTr="00A40D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A40D15">
              <w:rPr>
                <w:rFonts w:ascii="Times New Roman" w:eastAsia="Times New Roman" w:hAnsi="Times New Roman"/>
                <w:b/>
              </w:rPr>
              <w:lastRenderedPageBreak/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i/>
              </w:rPr>
              <w:t>ООО «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i/>
              </w:rPr>
              <w:t>Дальэнергострой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i/>
              </w:rPr>
              <w:t xml:space="preserve">» 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>г. Находка, Находкинский пр-т, 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Цена: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</w:rPr>
              <w:t xml:space="preserve">3 582 000,00  </w:t>
            </w:r>
            <w:r w:rsidRPr="00A40D15">
              <w:rPr>
                <w:rFonts w:ascii="Times New Roman" w:eastAsia="Times New Roman" w:hAnsi="Times New Roman"/>
              </w:rPr>
              <w:t xml:space="preserve">руб. без учета НДС (НДС не облагается). </w:t>
            </w:r>
          </w:p>
        </w:tc>
      </w:tr>
      <w:tr w:rsidR="00A40D15" w:rsidRPr="00A40D15" w:rsidTr="00A40D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A40D15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i/>
              </w:rPr>
              <w:t>ОАО «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i/>
              </w:rPr>
              <w:t>Востоксельэлектросетьстрой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i/>
              </w:rPr>
              <w:t>»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г. Хабаровск, ул. </w:t>
            </w:r>
            <w:proofErr w:type="gramStart"/>
            <w:r w:rsidRPr="00A40D15">
              <w:rPr>
                <w:rFonts w:ascii="Times New Roman" w:eastAsia="Times New Roman" w:hAnsi="Times New Roman"/>
              </w:rPr>
              <w:t>Тихоокеанская</w:t>
            </w:r>
            <w:proofErr w:type="gramEnd"/>
            <w:r w:rsidRPr="00A40D15">
              <w:rPr>
                <w:rFonts w:ascii="Times New Roman" w:eastAsia="Times New Roman" w:hAnsi="Times New Roman"/>
              </w:rPr>
              <w:t>, 165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Цена: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</w:rPr>
              <w:t xml:space="preserve">3 585 000,00 </w:t>
            </w:r>
            <w:r w:rsidRPr="00A40D15">
              <w:rPr>
                <w:rFonts w:ascii="Times New Roman" w:eastAsia="Times New Roman" w:hAnsi="Times New Roman"/>
              </w:rPr>
              <w:t xml:space="preserve">руб. без учета НДС (4 230 300,00 руб. с учетом НДС). </w:t>
            </w:r>
          </w:p>
        </w:tc>
      </w:tr>
      <w:tr w:rsidR="00A40D15" w:rsidRPr="00A40D15" w:rsidTr="00A40D15"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лот 10 «Мероприятия по технологическому присоединению заявителей к электрическим сетям напряжением до 20кВ на территории СП «ПЮЭС» (Партизанский район д. Ястребовка, г.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Партизанск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, с. Екатеринославка, с.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Хмыловка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, д.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Кирилловка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, п.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Волчанец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, с. Тигровое, с.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Фроловка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, с.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Молчановка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Лазовский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район с.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Киевка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)</w:t>
            </w:r>
            <w:proofErr w:type="gramEnd"/>
          </w:p>
        </w:tc>
      </w:tr>
      <w:tr w:rsidR="00A40D15" w:rsidRPr="00A40D15" w:rsidTr="00A40D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A40D15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i/>
              </w:rPr>
              <w:t>ООО «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i/>
              </w:rPr>
              <w:t>Дальэнергострой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i/>
              </w:rPr>
              <w:t xml:space="preserve">» 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>г. Находка, Находкинский пр-т, 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Цена: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</w:rPr>
              <w:t xml:space="preserve">4 093 000,00  </w:t>
            </w:r>
            <w:r w:rsidRPr="00A40D15">
              <w:rPr>
                <w:rFonts w:ascii="Times New Roman" w:eastAsia="Times New Roman" w:hAnsi="Times New Roman"/>
              </w:rPr>
              <w:t xml:space="preserve">руб. без учета НДС (НДС не облагается). </w:t>
            </w:r>
          </w:p>
        </w:tc>
      </w:tr>
      <w:tr w:rsidR="00A40D15" w:rsidRPr="00A40D15" w:rsidTr="00A40D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A40D15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i/>
              </w:rPr>
              <w:t>ОАО «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i/>
              </w:rPr>
              <w:t>Востоксельэлектросетьстрой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i/>
              </w:rPr>
              <w:t>»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г. Хабаровск, ул. </w:t>
            </w:r>
            <w:proofErr w:type="gramStart"/>
            <w:r w:rsidRPr="00A40D15">
              <w:rPr>
                <w:rFonts w:ascii="Times New Roman" w:eastAsia="Times New Roman" w:hAnsi="Times New Roman"/>
              </w:rPr>
              <w:t>Тихоокеанская</w:t>
            </w:r>
            <w:proofErr w:type="gramEnd"/>
            <w:r w:rsidRPr="00A40D15">
              <w:rPr>
                <w:rFonts w:ascii="Times New Roman" w:eastAsia="Times New Roman" w:hAnsi="Times New Roman"/>
              </w:rPr>
              <w:t>, 165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Цена: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</w:rPr>
              <w:t xml:space="preserve">4 098 720,00 </w:t>
            </w:r>
            <w:r w:rsidRPr="00A40D15">
              <w:rPr>
                <w:rFonts w:ascii="Times New Roman" w:eastAsia="Times New Roman" w:hAnsi="Times New Roman"/>
              </w:rPr>
              <w:t xml:space="preserve">руб. без учета НДС (4 836 489,60 руб. с учетом НДС). </w:t>
            </w:r>
          </w:p>
        </w:tc>
      </w:tr>
      <w:tr w:rsidR="00A40D15" w:rsidRPr="00A40D15" w:rsidTr="00A40D15"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лот 11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Надеждинский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район урочище «Полигон», п. Новый, урочище «Соловей ключ», с/т «Оникс», урочище «Мирное»,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Шкотовский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район п.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Штыково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, с. 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Многоудобное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, д. Новая Москва)</w:t>
            </w:r>
            <w:proofErr w:type="gramEnd"/>
          </w:p>
        </w:tc>
      </w:tr>
      <w:tr w:rsidR="00A40D15" w:rsidRPr="00A40D15" w:rsidTr="00A40D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A40D15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i/>
              </w:rPr>
              <w:t>ООО «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i/>
              </w:rPr>
              <w:t>Уссурэлектромонтаж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i/>
              </w:rPr>
              <w:t>»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г. Уссурийск, ул. </w:t>
            </w:r>
            <w:proofErr w:type="spellStart"/>
            <w:r w:rsidRPr="00A40D15">
              <w:rPr>
                <w:rFonts w:ascii="Times New Roman" w:eastAsia="Times New Roman" w:hAnsi="Times New Roman"/>
              </w:rPr>
              <w:t>Штабского</w:t>
            </w:r>
            <w:proofErr w:type="spellEnd"/>
            <w:r w:rsidRPr="00A40D15">
              <w:rPr>
                <w:rFonts w:ascii="Times New Roman" w:eastAsia="Times New Roman" w:hAnsi="Times New Roman"/>
              </w:rPr>
              <w:t>, 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Цена: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</w:rPr>
              <w:t xml:space="preserve">4 555 960,00 </w:t>
            </w:r>
            <w:r w:rsidRPr="00A40D15">
              <w:rPr>
                <w:rFonts w:ascii="Times New Roman" w:eastAsia="Times New Roman" w:hAnsi="Times New Roman"/>
              </w:rPr>
              <w:t xml:space="preserve">руб. без учета НДС (5 376 032,80 руб. с учетом НДС). </w:t>
            </w:r>
          </w:p>
        </w:tc>
      </w:tr>
      <w:tr w:rsidR="00A40D15" w:rsidRPr="00A40D15" w:rsidTr="00A40D15"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лот 12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Хасанский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район, </w:t>
            </w:r>
            <w:proofErr w:type="gramStart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A40D15">
              <w:rPr>
                <w:rFonts w:ascii="Times New Roman" w:eastAsia="Times New Roman" w:hAnsi="Times New Roman"/>
                <w:b/>
                <w:bCs/>
                <w:i/>
                <w:iCs/>
              </w:rPr>
              <w:t>. Андреевка, с. Перевозное)</w:t>
            </w:r>
          </w:p>
        </w:tc>
      </w:tr>
      <w:tr w:rsidR="00A40D15" w:rsidRPr="00A40D15" w:rsidTr="00A40D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A40D15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i/>
              </w:rPr>
              <w:t>ОАО «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i/>
              </w:rPr>
              <w:t>Востоксельэлектросетьстрой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i/>
              </w:rPr>
              <w:t>»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г. Хабаровск, ул. </w:t>
            </w:r>
            <w:proofErr w:type="gramStart"/>
            <w:r w:rsidRPr="00A40D15">
              <w:rPr>
                <w:rFonts w:ascii="Times New Roman" w:eastAsia="Times New Roman" w:hAnsi="Times New Roman"/>
              </w:rPr>
              <w:t>Тихоокеанская</w:t>
            </w:r>
            <w:proofErr w:type="gramEnd"/>
            <w:r w:rsidRPr="00A40D15">
              <w:rPr>
                <w:rFonts w:ascii="Times New Roman" w:eastAsia="Times New Roman" w:hAnsi="Times New Roman"/>
              </w:rPr>
              <w:t>, 165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Цена: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</w:rPr>
              <w:t xml:space="preserve">972 000,00  </w:t>
            </w:r>
            <w:r w:rsidRPr="00A40D15">
              <w:rPr>
                <w:rFonts w:ascii="Times New Roman" w:eastAsia="Times New Roman" w:hAnsi="Times New Roman"/>
              </w:rPr>
              <w:t xml:space="preserve">руб. без учета НДС (1 146 960,00 руб. с учетом НДС). </w:t>
            </w:r>
          </w:p>
        </w:tc>
      </w:tr>
      <w:tr w:rsidR="00A40D15" w:rsidRPr="00A40D15" w:rsidTr="00A40D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A40D15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40D15">
              <w:rPr>
                <w:rFonts w:ascii="Times New Roman" w:eastAsia="Times New Roman" w:hAnsi="Times New Roman"/>
                <w:b/>
                <w:i/>
              </w:rPr>
              <w:t>ООО «</w:t>
            </w:r>
            <w:proofErr w:type="spellStart"/>
            <w:r w:rsidRPr="00A40D15">
              <w:rPr>
                <w:rFonts w:ascii="Times New Roman" w:eastAsia="Times New Roman" w:hAnsi="Times New Roman"/>
                <w:b/>
                <w:i/>
              </w:rPr>
              <w:t>Уссурэлектромонтаж</w:t>
            </w:r>
            <w:proofErr w:type="spellEnd"/>
            <w:r w:rsidRPr="00A40D15">
              <w:rPr>
                <w:rFonts w:ascii="Times New Roman" w:eastAsia="Times New Roman" w:hAnsi="Times New Roman"/>
                <w:b/>
                <w:i/>
              </w:rPr>
              <w:t>»</w:t>
            </w:r>
          </w:p>
          <w:p w:rsidR="00A40D15" w:rsidRPr="00A40D15" w:rsidRDefault="00A40D15" w:rsidP="00A40D1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г. Уссурийск, ул. </w:t>
            </w:r>
            <w:proofErr w:type="spellStart"/>
            <w:r w:rsidRPr="00A40D15">
              <w:rPr>
                <w:rFonts w:ascii="Times New Roman" w:eastAsia="Times New Roman" w:hAnsi="Times New Roman"/>
              </w:rPr>
              <w:t>Штабского</w:t>
            </w:r>
            <w:proofErr w:type="spellEnd"/>
            <w:r w:rsidRPr="00A40D15">
              <w:rPr>
                <w:rFonts w:ascii="Times New Roman" w:eastAsia="Times New Roman" w:hAnsi="Times New Roman"/>
              </w:rPr>
              <w:t>, 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5" w:rsidRPr="00A40D15" w:rsidRDefault="00A40D15" w:rsidP="00A40D15">
            <w:pPr>
              <w:snapToGrid w:val="0"/>
              <w:rPr>
                <w:rFonts w:ascii="Times New Roman" w:eastAsia="Times New Roman" w:hAnsi="Times New Roman"/>
              </w:rPr>
            </w:pPr>
            <w:r w:rsidRPr="00A40D15">
              <w:rPr>
                <w:rFonts w:ascii="Times New Roman" w:eastAsia="Times New Roman" w:hAnsi="Times New Roman"/>
              </w:rPr>
              <w:t xml:space="preserve">Цена: </w:t>
            </w:r>
            <w:r w:rsidRPr="00A40D15">
              <w:rPr>
                <w:rFonts w:ascii="Times New Roman" w:eastAsia="Times New Roman" w:hAnsi="Times New Roman"/>
                <w:b/>
                <w:bCs/>
                <w:i/>
              </w:rPr>
              <w:t xml:space="preserve">972 310,00  </w:t>
            </w:r>
            <w:r w:rsidRPr="00A40D15">
              <w:rPr>
                <w:rFonts w:ascii="Times New Roman" w:eastAsia="Times New Roman" w:hAnsi="Times New Roman"/>
              </w:rPr>
              <w:t xml:space="preserve">руб. без учета НДС (1 147 325,80 руб. с учетом НДС). </w:t>
            </w:r>
          </w:p>
        </w:tc>
      </w:tr>
    </w:tbl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A40D15" w:rsidRPr="00055B77" w:rsidRDefault="00A40D1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94" w:rsidRDefault="00BB6094" w:rsidP="000F4708">
      <w:pPr>
        <w:spacing w:after="0" w:line="240" w:lineRule="auto"/>
      </w:pPr>
      <w:r>
        <w:separator/>
      </w:r>
    </w:p>
  </w:endnote>
  <w:endnote w:type="continuationSeparator" w:id="0">
    <w:p w:rsidR="00BB6094" w:rsidRDefault="00BB609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D1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94" w:rsidRDefault="00BB6094" w:rsidP="000F4708">
      <w:pPr>
        <w:spacing w:after="0" w:line="240" w:lineRule="auto"/>
      </w:pPr>
      <w:r>
        <w:separator/>
      </w:r>
    </w:p>
  </w:footnote>
  <w:footnote w:type="continuationSeparator" w:id="0">
    <w:p w:rsidR="00BB6094" w:rsidRDefault="00BB609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40D15">
      <w:rPr>
        <w:i/>
        <w:sz w:val="18"/>
        <w:szCs w:val="18"/>
      </w:rPr>
      <w:t>368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40D15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A40D15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BFFE-D9AF-4AF6-850D-3A3C497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2015-03-26T06:57:00Z</cp:lastPrinted>
  <dcterms:created xsi:type="dcterms:W3CDTF">2015-03-26T06:58:00Z</dcterms:created>
  <dcterms:modified xsi:type="dcterms:W3CDTF">2015-03-26T06:58:00Z</dcterms:modified>
</cp:coreProperties>
</file>