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№4, №5</w:t>
      </w:r>
      <w:r w:rsidR="00551198" w:rsidRPr="00551198">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r w:rsidR="00551198" w:rsidRPr="00551198">
        <w:rPr>
          <w:b/>
          <w:sz w:val="24"/>
          <w:szCs w:val="24"/>
        </w:rPr>
        <w:t xml:space="preserve"> </w:t>
      </w:r>
      <w:r w:rsidR="00551198" w:rsidRPr="00551198">
        <w:rPr>
          <w:sz w:val="24"/>
          <w:szCs w:val="24"/>
        </w:rPr>
        <w:t xml:space="preserve">«Амурские ЭС», «Приморские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 и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В случае не выполнения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средств с корреспондентского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случае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r w:rsidRPr="00551198">
              <w:rPr>
                <w:i/>
                <w:color w:val="000000"/>
                <w:spacing w:val="-2"/>
                <w:sz w:val="24"/>
                <w:szCs w:val="24"/>
              </w:rPr>
              <w:t>Р/</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r w:rsidR="009528CC">
        <w:rPr>
          <w:sz w:val="22"/>
          <w:szCs w:val="22"/>
        </w:rPr>
        <w:t>..5</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от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от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84FBE">
          <w:rPr>
            <w:rFonts w:eastAsia="Calibri"/>
            <w:sz w:val="22"/>
            <w:szCs w:val="22"/>
            <w:lang w:eastAsia="en-US"/>
          </w:rPr>
          <w:t>Критери</w:t>
        </w:r>
      </w:hyperlink>
      <w:r w:rsidRPr="00484FBE">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подписании,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105932" w:rsidRDefault="00105932" w:rsidP="00105932">
      <w:pPr>
        <w:widowControl/>
        <w:tabs>
          <w:tab w:val="left" w:pos="3712"/>
        </w:tabs>
        <w:autoSpaceDE/>
        <w:adjustRightInd/>
        <w:jc w:val="center"/>
        <w:rPr>
          <w:sz w:val="26"/>
          <w:szCs w:val="26"/>
        </w:rPr>
      </w:pPr>
      <w:r>
        <w:rPr>
          <w:sz w:val="24"/>
          <w:szCs w:val="24"/>
        </w:rPr>
        <w:lastRenderedPageBreak/>
        <w:t>Приложение №5 к договору поставки №                  от</w:t>
      </w:r>
    </w:p>
    <w:p w:rsidR="00105932" w:rsidRDefault="00105932" w:rsidP="00105932">
      <w:pPr>
        <w:autoSpaceDE/>
        <w:adjustRightInd/>
        <w:spacing w:after="23" w:line="210" w:lineRule="exact"/>
        <w:jc w:val="center"/>
        <w:rPr>
          <w:b/>
          <w:bCs/>
          <w:color w:val="000000"/>
          <w:spacing w:val="-1"/>
          <w:sz w:val="26"/>
          <w:szCs w:val="26"/>
          <w:lang w:bidi="ru-RU"/>
        </w:rPr>
      </w:pPr>
    </w:p>
    <w:p w:rsidR="00105932" w:rsidRDefault="00105932" w:rsidP="00105932">
      <w:pPr>
        <w:autoSpaceDE/>
        <w:adjustRightInd/>
        <w:spacing w:after="23" w:line="210" w:lineRule="exact"/>
        <w:jc w:val="center"/>
        <w:rPr>
          <w:b/>
          <w:bCs/>
          <w:color w:val="000000"/>
          <w:spacing w:val="-1"/>
          <w:sz w:val="26"/>
          <w:szCs w:val="26"/>
          <w:lang w:bidi="ru-RU"/>
        </w:rPr>
      </w:pPr>
      <w:r>
        <w:rPr>
          <w:b/>
          <w:bCs/>
          <w:color w:val="000000"/>
          <w:spacing w:val="-1"/>
          <w:sz w:val="26"/>
          <w:szCs w:val="26"/>
          <w:lang w:bidi="ru-RU"/>
        </w:rPr>
        <w:t>Письмо-уведомление</w:t>
      </w:r>
    </w:p>
    <w:p w:rsidR="00105932" w:rsidRDefault="00105932" w:rsidP="00105932">
      <w:pPr>
        <w:tabs>
          <w:tab w:val="left" w:pos="703"/>
        </w:tabs>
        <w:adjustRightInd/>
        <w:ind w:firstLine="709"/>
        <w:jc w:val="both"/>
        <w:rPr>
          <w:b/>
          <w:i/>
          <w:sz w:val="26"/>
          <w:szCs w:val="26"/>
        </w:rPr>
      </w:pPr>
    </w:p>
    <w:p w:rsidR="00105932" w:rsidRDefault="00105932" w:rsidP="00105932">
      <w:pPr>
        <w:tabs>
          <w:tab w:val="left" w:pos="703"/>
        </w:tabs>
        <w:adjustRightInd/>
        <w:ind w:firstLine="709"/>
        <w:jc w:val="both"/>
        <w:rPr>
          <w:b/>
          <w:i/>
          <w:sz w:val="26"/>
          <w:szCs w:val="26"/>
        </w:rPr>
      </w:pPr>
    </w:p>
    <w:p w:rsidR="00105932" w:rsidRDefault="00105932" w:rsidP="00105932">
      <w:pPr>
        <w:widowControl/>
        <w:autoSpaceDE/>
        <w:adjustRightInd/>
        <w:jc w:val="both"/>
        <w:rPr>
          <w:sz w:val="26"/>
          <w:szCs w:val="26"/>
        </w:rPr>
      </w:pPr>
      <w:r>
        <w:rPr>
          <w:bCs/>
          <w:sz w:val="26"/>
          <w:szCs w:val="26"/>
        </w:rPr>
        <w:t xml:space="preserve">г. ______________             </w:t>
      </w:r>
      <w:r>
        <w:rPr>
          <w:bCs/>
          <w:sz w:val="26"/>
          <w:szCs w:val="26"/>
        </w:rPr>
        <w:tab/>
        <w:t xml:space="preserve">                                       «___» ____________ 2015г.</w:t>
      </w:r>
    </w:p>
    <w:p w:rsidR="00105932" w:rsidRDefault="00105932" w:rsidP="00105932">
      <w:pPr>
        <w:tabs>
          <w:tab w:val="left" w:pos="703"/>
        </w:tabs>
        <w:adjustRightInd/>
        <w:ind w:firstLine="709"/>
        <w:jc w:val="both"/>
        <w:rPr>
          <w:b/>
          <w:i/>
          <w:sz w:val="26"/>
          <w:szCs w:val="26"/>
        </w:rPr>
      </w:pPr>
    </w:p>
    <w:p w:rsidR="00105932" w:rsidRDefault="00105932" w:rsidP="00105932">
      <w:pPr>
        <w:tabs>
          <w:tab w:val="left" w:pos="4358"/>
          <w:tab w:val="left" w:pos="4421"/>
          <w:tab w:val="left" w:leader="underscore" w:pos="7598"/>
        </w:tabs>
        <w:autoSpaceDE/>
        <w:adjustRightInd/>
        <w:spacing w:line="274" w:lineRule="exact"/>
        <w:jc w:val="both"/>
        <w:rPr>
          <w:color w:val="000000"/>
          <w:spacing w:val="-1"/>
          <w:sz w:val="21"/>
          <w:szCs w:val="21"/>
          <w:lang w:bidi="ru-RU"/>
        </w:rPr>
      </w:pPr>
      <w:r>
        <w:rPr>
          <w:color w:val="000000"/>
          <w:spacing w:val="-1"/>
          <w:sz w:val="21"/>
          <w:szCs w:val="21"/>
          <w:u w:val="single"/>
          <w:lang w:bidi="ru-RU"/>
        </w:rPr>
        <w:tab/>
        <w:t xml:space="preserve">  </w:t>
      </w:r>
      <w:r>
        <w:rPr>
          <w:color w:val="000000"/>
          <w:spacing w:val="-1"/>
          <w:sz w:val="21"/>
          <w:szCs w:val="21"/>
          <w:lang w:bidi="ru-RU"/>
        </w:rPr>
        <w:t xml:space="preserve">в лице  </w:t>
      </w:r>
      <w:r>
        <w:rPr>
          <w:color w:val="000000"/>
          <w:spacing w:val="-1"/>
          <w:sz w:val="21"/>
          <w:szCs w:val="21"/>
          <w:lang w:bidi="ru-RU"/>
        </w:rPr>
        <w:tab/>
        <w:t xml:space="preserve"> , действующего на основании  </w:t>
      </w:r>
      <w:r>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Pr>
          <w:color w:val="000000"/>
          <w:spacing w:val="-1"/>
          <w:sz w:val="21"/>
          <w:szCs w:val="21"/>
          <w:u w:val="single"/>
          <w:lang w:bidi="ru-RU"/>
        </w:rPr>
        <w:t xml:space="preserve">                                           </w:t>
      </w:r>
      <w:r>
        <w:rPr>
          <w:i/>
          <w:iCs/>
          <w:color w:val="000000"/>
          <w:spacing w:val="-3"/>
          <w:sz w:val="21"/>
          <w:szCs w:val="21"/>
          <w:lang w:bidi="ru-RU"/>
        </w:rPr>
        <w:t>[Поставщик ],</w:t>
      </w:r>
      <w:r>
        <w:rPr>
          <w:color w:val="000000"/>
          <w:spacing w:val="-1"/>
          <w:sz w:val="21"/>
          <w:szCs w:val="21"/>
          <w:lang w:bidi="ru-RU"/>
        </w:rPr>
        <w:t xml:space="preserve"> в рамках Договора на     </w:t>
      </w:r>
      <w:r>
        <w:rPr>
          <w:color w:val="000000"/>
          <w:spacing w:val="-1"/>
          <w:sz w:val="21"/>
          <w:szCs w:val="21"/>
          <w:u w:val="single"/>
          <w:lang w:bidi="ru-RU"/>
        </w:rPr>
        <w:t xml:space="preserve">            [</w:t>
      </w:r>
      <w:r>
        <w:rPr>
          <w:i/>
          <w:iCs/>
          <w:color w:val="000000"/>
          <w:spacing w:val="-3"/>
          <w:sz w:val="21"/>
          <w:szCs w:val="21"/>
          <w:lang w:bidi="ru-RU"/>
        </w:rPr>
        <w:t>предмет договора]</w:t>
      </w:r>
      <w:r>
        <w:rPr>
          <w:color w:val="000000"/>
          <w:spacing w:val="-1"/>
          <w:sz w:val="21"/>
          <w:szCs w:val="21"/>
          <w:lang w:bidi="ru-RU"/>
        </w:rPr>
        <w:t xml:space="preserve">  </w:t>
      </w:r>
      <w:r>
        <w:rPr>
          <w:color w:val="000000"/>
          <w:spacing w:val="-1"/>
          <w:sz w:val="21"/>
          <w:szCs w:val="21"/>
          <w:u w:val="single"/>
          <w:lang w:bidi="ru-RU"/>
        </w:rPr>
        <w:t xml:space="preserve">                  </w:t>
      </w:r>
      <w:r>
        <w:rPr>
          <w:i/>
          <w:iCs/>
          <w:color w:val="000000"/>
          <w:spacing w:val="-3"/>
          <w:sz w:val="21"/>
          <w:szCs w:val="21"/>
          <w:u w:val="single"/>
          <w:lang w:bidi="ru-RU"/>
        </w:rPr>
        <w:t xml:space="preserve">  </w:t>
      </w:r>
      <w:r>
        <w:rPr>
          <w:i/>
          <w:iCs/>
          <w:color w:val="000000"/>
          <w:spacing w:val="-3"/>
          <w:sz w:val="21"/>
          <w:szCs w:val="21"/>
          <w:lang w:bidi="ru-RU"/>
        </w:rPr>
        <w:t xml:space="preserve">[№ договора] </w:t>
      </w:r>
      <w:r>
        <w:rPr>
          <w:color w:val="000000"/>
          <w:spacing w:val="-1"/>
          <w:sz w:val="21"/>
          <w:szCs w:val="21"/>
          <w:lang w:bidi="ru-RU"/>
        </w:rPr>
        <w:t xml:space="preserve">от </w:t>
      </w:r>
      <w:r>
        <w:rPr>
          <w:i/>
          <w:iCs/>
          <w:color w:val="000000"/>
          <w:spacing w:val="-3"/>
          <w:sz w:val="21"/>
          <w:szCs w:val="21"/>
          <w:u w:val="single"/>
          <w:lang w:bidi="ru-RU"/>
        </w:rPr>
        <w:t xml:space="preserve">              </w:t>
      </w:r>
      <w:r>
        <w:rPr>
          <w:i/>
          <w:iCs/>
          <w:color w:val="000000"/>
          <w:spacing w:val="-3"/>
          <w:sz w:val="21"/>
          <w:szCs w:val="21"/>
          <w:lang w:bidi="ru-RU"/>
        </w:rPr>
        <w:t xml:space="preserve"> [дата договора]</w:t>
      </w:r>
      <w:r>
        <w:rPr>
          <w:color w:val="000000"/>
          <w:spacing w:val="-1"/>
          <w:sz w:val="21"/>
          <w:szCs w:val="21"/>
          <w:lang w:bidi="ru-RU"/>
        </w:rPr>
        <w:t xml:space="preserve">  уведомляет, что:</w:t>
      </w:r>
    </w:p>
    <w:p w:rsidR="00105932" w:rsidRDefault="00105932" w:rsidP="00105932">
      <w:pPr>
        <w:tabs>
          <w:tab w:val="left" w:pos="703"/>
        </w:tabs>
        <w:adjustRightInd/>
        <w:ind w:firstLine="709"/>
        <w:jc w:val="both"/>
        <w:rPr>
          <w:color w:val="000000"/>
          <w:spacing w:val="-1"/>
          <w:sz w:val="21"/>
          <w:szCs w:val="21"/>
          <w:lang w:bidi="ru-RU"/>
        </w:rPr>
      </w:pPr>
      <w:r>
        <w:rPr>
          <w:b/>
          <w:i/>
          <w:iCs/>
          <w:color w:val="000000"/>
          <w:spacing w:val="-3"/>
          <w:sz w:val="21"/>
          <w:szCs w:val="21"/>
          <w:lang w:bidi="ru-RU"/>
        </w:rPr>
        <w:t xml:space="preserve">{указывается наименование субпоставщика </w:t>
      </w:r>
      <w:r>
        <w:rPr>
          <w:b/>
          <w:i/>
          <w:iCs/>
          <w:color w:val="000000"/>
          <w:spacing w:val="-3"/>
          <w:sz w:val="21"/>
          <w:szCs w:val="21"/>
          <w:lang w:eastAsia="en-US" w:bidi="en-US"/>
        </w:rPr>
        <w:t xml:space="preserve">1-го </w:t>
      </w:r>
      <w:r>
        <w:rPr>
          <w:b/>
          <w:i/>
          <w:iCs/>
          <w:color w:val="000000"/>
          <w:spacing w:val="-3"/>
          <w:sz w:val="21"/>
          <w:szCs w:val="21"/>
          <w:lang w:bidi="ru-RU"/>
        </w:rPr>
        <w:t>уровня по данному договору}</w:t>
      </w:r>
      <w:r>
        <w:rPr>
          <w:i/>
          <w:iCs/>
          <w:color w:val="000000"/>
          <w:spacing w:val="-3"/>
          <w:sz w:val="21"/>
          <w:szCs w:val="21"/>
          <w:lang w:bidi="ru-RU"/>
        </w:rPr>
        <w:t xml:space="preserve"> </w:t>
      </w:r>
      <w:r>
        <w:rPr>
          <w:color w:val="000000"/>
          <w:spacing w:val="-1"/>
          <w:sz w:val="21"/>
          <w:szCs w:val="21"/>
          <w:lang w:bidi="ru-RU"/>
        </w:rPr>
        <w:t xml:space="preserve">являющееся субпоставщиком 1-го уровня по данному договору </w:t>
      </w:r>
      <w:r>
        <w:rPr>
          <w:color w:val="000000"/>
          <w:spacing w:val="-1"/>
          <w:sz w:val="21"/>
          <w:szCs w:val="21"/>
          <w:u w:val="single"/>
          <w:lang w:bidi="ru-RU"/>
        </w:rPr>
        <w:t>является/не является</w:t>
      </w:r>
      <w:r>
        <w:rPr>
          <w:color w:val="000000"/>
          <w:spacing w:val="-1"/>
          <w:sz w:val="21"/>
          <w:szCs w:val="21"/>
          <w:lang w:bidi="ru-RU"/>
        </w:rPr>
        <w:t xml:space="preserve"> </w:t>
      </w:r>
      <w:r>
        <w:rPr>
          <w:i/>
          <w:iCs/>
          <w:color w:val="000000"/>
          <w:spacing w:val="-3"/>
          <w:sz w:val="21"/>
          <w:szCs w:val="21"/>
          <w:lang w:bidi="ru-RU"/>
        </w:rPr>
        <w:t>(ненужное удалить)</w:t>
      </w:r>
      <w:r>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105932" w:rsidRDefault="00105932" w:rsidP="00105932">
      <w:pPr>
        <w:tabs>
          <w:tab w:val="left" w:pos="703"/>
        </w:tabs>
        <w:adjustRightInd/>
        <w:ind w:firstLine="709"/>
        <w:jc w:val="both"/>
        <w:rPr>
          <w:b/>
          <w:i/>
          <w:sz w:val="26"/>
          <w:szCs w:val="26"/>
        </w:rPr>
      </w:pPr>
    </w:p>
    <w:p w:rsidR="00105932" w:rsidRDefault="00105932" w:rsidP="00105932">
      <w:pPr>
        <w:tabs>
          <w:tab w:val="left" w:pos="703"/>
        </w:tabs>
        <w:adjustRightInd/>
        <w:ind w:firstLine="709"/>
        <w:jc w:val="both"/>
        <w:rPr>
          <w:b/>
          <w:i/>
          <w:sz w:val="26"/>
          <w:szCs w:val="26"/>
        </w:rPr>
      </w:pPr>
      <w:r>
        <w:rPr>
          <w:b/>
          <w:bCs/>
          <w:color w:val="000000"/>
          <w:spacing w:val="-1"/>
          <w:sz w:val="21"/>
          <w:szCs w:val="21"/>
          <w:lang w:bidi="ru-RU"/>
        </w:rPr>
        <w:t>Таблица-1. Сведения о субъекте (-ах) малого и среднего предпринимательства являющегося (-</w:t>
      </w:r>
      <w:proofErr w:type="spellStart"/>
      <w:r>
        <w:rPr>
          <w:b/>
          <w:bCs/>
          <w:color w:val="000000"/>
          <w:spacing w:val="-1"/>
          <w:sz w:val="21"/>
          <w:szCs w:val="21"/>
          <w:lang w:bidi="ru-RU"/>
        </w:rPr>
        <w:t>ихся</w:t>
      </w:r>
      <w:proofErr w:type="spellEnd"/>
      <w:r>
        <w:rPr>
          <w:b/>
          <w:bCs/>
          <w:color w:val="000000"/>
          <w:spacing w:val="-1"/>
          <w:sz w:val="21"/>
          <w:szCs w:val="21"/>
          <w:lang w:bidi="ru-RU"/>
        </w:rPr>
        <w:t>) субпоставщиком (ми) 1-го уровня.</w:t>
      </w:r>
    </w:p>
    <w:p w:rsidR="00105932" w:rsidRDefault="00105932" w:rsidP="00105932">
      <w:pPr>
        <w:tabs>
          <w:tab w:val="left" w:pos="703"/>
        </w:tabs>
        <w:adjustRightInd/>
        <w:ind w:firstLine="709"/>
        <w:jc w:val="both"/>
        <w:rPr>
          <w:color w:val="000000"/>
          <w:spacing w:val="-1"/>
          <w:sz w:val="21"/>
          <w:szCs w:val="21"/>
          <w:lang w:bidi="ru-RU"/>
        </w:rPr>
      </w:pPr>
    </w:p>
    <w:tbl>
      <w:tblPr>
        <w:tblpPr w:leftFromText="180" w:rightFromText="180" w:bottomFromText="200" w:vertAnchor="text" w:horzAnchor="margin" w:tblpY="55"/>
        <w:tblOverlap w:val="never"/>
        <w:tblW w:w="9885" w:type="dxa"/>
        <w:tblLayout w:type="fixed"/>
        <w:tblCellMar>
          <w:left w:w="10" w:type="dxa"/>
          <w:right w:w="10" w:type="dxa"/>
        </w:tblCellMar>
        <w:tblLook w:val="04A0" w:firstRow="1" w:lastRow="0" w:firstColumn="1" w:lastColumn="0" w:noHBand="0" w:noVBand="1"/>
      </w:tblPr>
      <w:tblGrid>
        <w:gridCol w:w="1892"/>
        <w:gridCol w:w="1797"/>
        <w:gridCol w:w="1650"/>
        <w:gridCol w:w="1664"/>
        <w:gridCol w:w="1370"/>
        <w:gridCol w:w="1512"/>
      </w:tblGrid>
      <w:tr w:rsidR="00105932" w:rsidTr="00105932">
        <w:trPr>
          <w:trHeight w:hRule="exact" w:val="2518"/>
        </w:trPr>
        <w:tc>
          <w:tcPr>
            <w:tcW w:w="1893" w:type="dxa"/>
            <w:vMerge w:val="restart"/>
            <w:tcBorders>
              <w:top w:val="single" w:sz="4" w:space="0" w:color="auto"/>
              <w:left w:val="single" w:sz="4" w:space="0" w:color="auto"/>
              <w:bottom w:val="nil"/>
              <w:right w:val="nil"/>
            </w:tcBorders>
            <w:shd w:val="clear" w:color="auto" w:fill="FFFFFF"/>
            <w:hideMark/>
          </w:tcPr>
          <w:p w:rsidR="00105932" w:rsidRDefault="00105932">
            <w:pPr>
              <w:autoSpaceDE/>
              <w:adjustRightInd/>
              <w:spacing w:line="216" w:lineRule="exact"/>
              <w:jc w:val="center"/>
              <w:rPr>
                <w:color w:val="000000"/>
                <w:spacing w:val="-1"/>
                <w:sz w:val="21"/>
                <w:szCs w:val="21"/>
                <w:lang w:eastAsia="en-US" w:bidi="ru-RU"/>
              </w:rPr>
            </w:pPr>
            <w:r>
              <w:rPr>
                <w:b/>
                <w:bCs/>
                <w:color w:val="000000"/>
                <w:spacing w:val="-2"/>
                <w:sz w:val="16"/>
                <w:szCs w:val="16"/>
                <w:lang w:eastAsia="en-US" w:bidi="ru-RU"/>
              </w:rPr>
              <w:t>Наименование юридического лица или фамилия, имя и отчество индивидуального предпринимателя</w:t>
            </w:r>
          </w:p>
        </w:tc>
        <w:tc>
          <w:tcPr>
            <w:tcW w:w="1797" w:type="dxa"/>
            <w:vMerge w:val="restart"/>
            <w:tcBorders>
              <w:top w:val="single" w:sz="4" w:space="0" w:color="auto"/>
              <w:left w:val="single" w:sz="4" w:space="0" w:color="auto"/>
              <w:bottom w:val="nil"/>
              <w:right w:val="nil"/>
            </w:tcBorders>
            <w:shd w:val="clear" w:color="auto" w:fill="FFFFFF"/>
            <w:hideMark/>
          </w:tcPr>
          <w:p w:rsidR="00105932" w:rsidRDefault="00105932">
            <w:pPr>
              <w:autoSpaceDE/>
              <w:adjustRightInd/>
              <w:spacing w:line="216" w:lineRule="exact"/>
              <w:jc w:val="center"/>
              <w:rPr>
                <w:color w:val="000000"/>
                <w:spacing w:val="-1"/>
                <w:sz w:val="21"/>
                <w:szCs w:val="21"/>
                <w:lang w:eastAsia="en-US" w:bidi="ru-RU"/>
              </w:rPr>
            </w:pPr>
            <w:r>
              <w:rPr>
                <w:b/>
                <w:bCs/>
                <w:color w:val="000000"/>
                <w:spacing w:val="-2"/>
                <w:sz w:val="16"/>
                <w:szCs w:val="16"/>
                <w:lang w:eastAsia="en-US" w:bidi="ru-RU"/>
              </w:rPr>
              <w:t>Юридический адрес юр. лица или место жительства индивидуального предпринимателя</w:t>
            </w:r>
          </w:p>
        </w:tc>
        <w:tc>
          <w:tcPr>
            <w:tcW w:w="1650" w:type="dxa"/>
            <w:vMerge w:val="restart"/>
            <w:tcBorders>
              <w:top w:val="single" w:sz="4" w:space="0" w:color="auto"/>
              <w:left w:val="single" w:sz="4" w:space="0" w:color="auto"/>
              <w:bottom w:val="nil"/>
              <w:right w:val="nil"/>
            </w:tcBorders>
            <w:shd w:val="clear" w:color="auto" w:fill="FFFFFF"/>
            <w:hideMark/>
          </w:tcPr>
          <w:p w:rsidR="00105932" w:rsidRDefault="00105932">
            <w:pPr>
              <w:autoSpaceDE/>
              <w:adjustRightInd/>
              <w:spacing w:line="211" w:lineRule="exact"/>
              <w:jc w:val="center"/>
              <w:rPr>
                <w:color w:val="000000"/>
                <w:spacing w:val="-1"/>
                <w:sz w:val="21"/>
                <w:szCs w:val="21"/>
                <w:lang w:eastAsia="en-US" w:bidi="ru-RU"/>
              </w:rPr>
            </w:pPr>
            <w:proofErr w:type="spellStart"/>
            <w:r>
              <w:rPr>
                <w:b/>
                <w:bCs/>
                <w:color w:val="000000"/>
                <w:spacing w:val="-2"/>
                <w:sz w:val="16"/>
                <w:szCs w:val="16"/>
                <w:lang w:eastAsia="en-US" w:bidi="ru-RU"/>
              </w:rPr>
              <w:t>Идентификацион</w:t>
            </w:r>
            <w:proofErr w:type="spellEnd"/>
            <w:r>
              <w:rPr>
                <w:b/>
                <w:bCs/>
                <w:color w:val="000000"/>
                <w:spacing w:val="-2"/>
                <w:sz w:val="16"/>
                <w:szCs w:val="16"/>
                <w:lang w:eastAsia="en-US" w:bidi="ru-RU"/>
              </w:rPr>
              <w:t xml:space="preserve"> </w:t>
            </w:r>
            <w:proofErr w:type="spellStart"/>
            <w:r>
              <w:rPr>
                <w:b/>
                <w:bCs/>
                <w:color w:val="000000"/>
                <w:spacing w:val="-2"/>
                <w:sz w:val="16"/>
                <w:szCs w:val="16"/>
                <w:lang w:eastAsia="en-US" w:bidi="ru-RU"/>
              </w:rPr>
              <w:t>ный</w:t>
            </w:r>
            <w:proofErr w:type="spellEnd"/>
            <w:r>
              <w:rPr>
                <w:b/>
                <w:bCs/>
                <w:color w:val="000000"/>
                <w:spacing w:val="-2"/>
                <w:sz w:val="16"/>
                <w:szCs w:val="16"/>
                <w:lang w:eastAsia="en-US" w:bidi="ru-RU"/>
              </w:rPr>
              <w:t xml:space="preserve"> номер </w:t>
            </w:r>
            <w:proofErr w:type="spellStart"/>
            <w:r>
              <w:rPr>
                <w:b/>
                <w:bCs/>
                <w:color w:val="000000"/>
                <w:spacing w:val="-2"/>
                <w:sz w:val="16"/>
                <w:szCs w:val="16"/>
                <w:lang w:eastAsia="en-US" w:bidi="ru-RU"/>
              </w:rPr>
              <w:t>налогоплателыц</w:t>
            </w:r>
            <w:proofErr w:type="spellEnd"/>
            <w:r>
              <w:rPr>
                <w:b/>
                <w:bCs/>
                <w:color w:val="000000"/>
                <w:spacing w:val="-2"/>
                <w:sz w:val="16"/>
                <w:szCs w:val="16"/>
                <w:lang w:eastAsia="en-US" w:bidi="ru-RU"/>
              </w:rPr>
              <w:t xml:space="preserve"> </w:t>
            </w:r>
            <w:proofErr w:type="spellStart"/>
            <w:r>
              <w:rPr>
                <w:b/>
                <w:bCs/>
                <w:color w:val="000000"/>
                <w:spacing w:val="-2"/>
                <w:sz w:val="16"/>
                <w:szCs w:val="16"/>
                <w:lang w:eastAsia="en-US" w:bidi="ru-RU"/>
              </w:rPr>
              <w:t>ика</w:t>
            </w:r>
            <w:proofErr w:type="spellEnd"/>
            <w:r>
              <w:rPr>
                <w:b/>
                <w:bCs/>
                <w:color w:val="000000"/>
                <w:spacing w:val="-2"/>
                <w:sz w:val="16"/>
                <w:szCs w:val="16"/>
                <w:lang w:eastAsia="en-US" w:bidi="ru-RU"/>
              </w:rPr>
              <w:t xml:space="preserve"> (ИНН)</w:t>
            </w:r>
          </w:p>
        </w:tc>
        <w:tc>
          <w:tcPr>
            <w:tcW w:w="1664" w:type="dxa"/>
            <w:vMerge w:val="restart"/>
            <w:tcBorders>
              <w:top w:val="single" w:sz="4" w:space="0" w:color="auto"/>
              <w:left w:val="single" w:sz="4" w:space="0" w:color="auto"/>
              <w:bottom w:val="nil"/>
              <w:right w:val="nil"/>
            </w:tcBorders>
            <w:shd w:val="clear" w:color="auto" w:fill="FFFFFF"/>
            <w:hideMark/>
          </w:tcPr>
          <w:p w:rsidR="00105932" w:rsidRDefault="00105932">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Предмет</w:t>
            </w:r>
          </w:p>
          <w:p w:rsidR="00105932" w:rsidRDefault="00105932">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 xml:space="preserve">Договора </w:t>
            </w:r>
            <w:proofErr w:type="spellStart"/>
            <w:r>
              <w:rPr>
                <w:b/>
                <w:bCs/>
                <w:color w:val="000000"/>
                <w:spacing w:val="-2"/>
                <w:sz w:val="16"/>
                <w:szCs w:val="16"/>
                <w:lang w:eastAsia="en-US" w:bidi="ru-RU"/>
              </w:rPr>
              <w:t>субпоставки</w:t>
            </w:r>
            <w:proofErr w:type="spellEnd"/>
          </w:p>
        </w:tc>
        <w:tc>
          <w:tcPr>
            <w:tcW w:w="2882" w:type="dxa"/>
            <w:gridSpan w:val="2"/>
            <w:tcBorders>
              <w:top w:val="single" w:sz="4" w:space="0" w:color="auto"/>
              <w:left w:val="single" w:sz="4" w:space="0" w:color="auto"/>
              <w:bottom w:val="nil"/>
              <w:right w:val="single" w:sz="4" w:space="0" w:color="auto"/>
            </w:tcBorders>
            <w:shd w:val="clear" w:color="auto" w:fill="FFFFFF"/>
            <w:hideMark/>
          </w:tcPr>
          <w:p w:rsidR="00105932" w:rsidRDefault="00105932">
            <w:pPr>
              <w:autoSpaceDE/>
              <w:adjustRightInd/>
              <w:spacing w:line="245" w:lineRule="exact"/>
              <w:jc w:val="center"/>
              <w:rPr>
                <w:color w:val="000000"/>
                <w:spacing w:val="-1"/>
                <w:sz w:val="21"/>
                <w:szCs w:val="21"/>
                <w:lang w:eastAsia="en-US" w:bidi="ru-RU"/>
              </w:rPr>
            </w:pPr>
            <w:r>
              <w:rPr>
                <w:b/>
                <w:bCs/>
                <w:color w:val="000000"/>
                <w:spacing w:val="-2"/>
                <w:sz w:val="16"/>
                <w:szCs w:val="16"/>
                <w:lang w:eastAsia="en-US" w:bidi="ru-RU"/>
              </w:rPr>
              <w:t xml:space="preserve">Стоимость договора </w:t>
            </w:r>
            <w:proofErr w:type="spellStart"/>
            <w:r>
              <w:rPr>
                <w:b/>
                <w:bCs/>
                <w:color w:val="000000"/>
                <w:spacing w:val="-2"/>
                <w:sz w:val="16"/>
                <w:szCs w:val="16"/>
                <w:lang w:eastAsia="en-US" w:bidi="ru-RU"/>
              </w:rPr>
              <w:t>субпоставки</w:t>
            </w:r>
            <w:proofErr w:type="spellEnd"/>
            <w:r>
              <w:rPr>
                <w:b/>
                <w:bCs/>
                <w:color w:val="000000"/>
                <w:spacing w:val="-2"/>
                <w:sz w:val="16"/>
                <w:szCs w:val="16"/>
                <w:lang w:eastAsia="en-US" w:bidi="ru-RU"/>
              </w:rPr>
              <w:t xml:space="preserve"> с субъектом малого и среднего предпринимательства, руб.</w:t>
            </w:r>
          </w:p>
        </w:tc>
      </w:tr>
      <w:tr w:rsidR="00105932" w:rsidTr="00105932">
        <w:trPr>
          <w:trHeight w:hRule="exact" w:val="881"/>
        </w:trPr>
        <w:tc>
          <w:tcPr>
            <w:tcW w:w="1893" w:type="dxa"/>
            <w:vMerge/>
            <w:tcBorders>
              <w:top w:val="single" w:sz="4" w:space="0" w:color="auto"/>
              <w:left w:val="single" w:sz="4" w:space="0" w:color="auto"/>
              <w:bottom w:val="nil"/>
              <w:right w:val="nil"/>
            </w:tcBorders>
            <w:vAlign w:val="center"/>
            <w:hideMark/>
          </w:tcPr>
          <w:p w:rsidR="00105932" w:rsidRDefault="00105932">
            <w:pPr>
              <w:widowControl/>
              <w:autoSpaceDE/>
              <w:autoSpaceDN/>
              <w:adjustRightInd/>
              <w:rPr>
                <w:color w:val="000000"/>
                <w:spacing w:val="-1"/>
                <w:sz w:val="21"/>
                <w:szCs w:val="21"/>
                <w:lang w:eastAsia="en-US" w:bidi="ru-RU"/>
              </w:rPr>
            </w:pPr>
          </w:p>
        </w:tc>
        <w:tc>
          <w:tcPr>
            <w:tcW w:w="1797" w:type="dxa"/>
            <w:vMerge/>
            <w:tcBorders>
              <w:top w:val="single" w:sz="4" w:space="0" w:color="auto"/>
              <w:left w:val="single" w:sz="4" w:space="0" w:color="auto"/>
              <w:bottom w:val="nil"/>
              <w:right w:val="nil"/>
            </w:tcBorders>
            <w:vAlign w:val="center"/>
            <w:hideMark/>
          </w:tcPr>
          <w:p w:rsidR="00105932" w:rsidRDefault="00105932">
            <w:pPr>
              <w:widowControl/>
              <w:autoSpaceDE/>
              <w:autoSpaceDN/>
              <w:adjustRightInd/>
              <w:rPr>
                <w:color w:val="000000"/>
                <w:spacing w:val="-1"/>
                <w:sz w:val="21"/>
                <w:szCs w:val="21"/>
                <w:lang w:eastAsia="en-US" w:bidi="ru-RU"/>
              </w:rPr>
            </w:pPr>
          </w:p>
        </w:tc>
        <w:tc>
          <w:tcPr>
            <w:tcW w:w="1650" w:type="dxa"/>
            <w:vMerge/>
            <w:tcBorders>
              <w:top w:val="single" w:sz="4" w:space="0" w:color="auto"/>
              <w:left w:val="single" w:sz="4" w:space="0" w:color="auto"/>
              <w:bottom w:val="nil"/>
              <w:right w:val="nil"/>
            </w:tcBorders>
            <w:vAlign w:val="center"/>
            <w:hideMark/>
          </w:tcPr>
          <w:p w:rsidR="00105932" w:rsidRDefault="00105932">
            <w:pPr>
              <w:widowControl/>
              <w:autoSpaceDE/>
              <w:autoSpaceDN/>
              <w:adjustRightInd/>
              <w:rPr>
                <w:color w:val="000000"/>
                <w:spacing w:val="-1"/>
                <w:sz w:val="21"/>
                <w:szCs w:val="21"/>
                <w:lang w:eastAsia="en-US" w:bidi="ru-RU"/>
              </w:rPr>
            </w:pPr>
          </w:p>
        </w:tc>
        <w:tc>
          <w:tcPr>
            <w:tcW w:w="1664" w:type="dxa"/>
            <w:vMerge/>
            <w:tcBorders>
              <w:top w:val="single" w:sz="4" w:space="0" w:color="auto"/>
              <w:left w:val="single" w:sz="4" w:space="0" w:color="auto"/>
              <w:bottom w:val="nil"/>
              <w:right w:val="nil"/>
            </w:tcBorders>
            <w:vAlign w:val="center"/>
            <w:hideMark/>
          </w:tcPr>
          <w:p w:rsidR="00105932" w:rsidRDefault="00105932">
            <w:pPr>
              <w:widowControl/>
              <w:autoSpaceDE/>
              <w:autoSpaceDN/>
              <w:adjustRightInd/>
              <w:rPr>
                <w:color w:val="000000"/>
                <w:spacing w:val="-1"/>
                <w:sz w:val="21"/>
                <w:szCs w:val="21"/>
                <w:lang w:eastAsia="en-US" w:bidi="ru-RU"/>
              </w:rPr>
            </w:pPr>
          </w:p>
        </w:tc>
        <w:tc>
          <w:tcPr>
            <w:tcW w:w="1370" w:type="dxa"/>
            <w:tcBorders>
              <w:top w:val="single" w:sz="4" w:space="0" w:color="auto"/>
              <w:left w:val="single" w:sz="4" w:space="0" w:color="auto"/>
              <w:bottom w:val="nil"/>
              <w:right w:val="nil"/>
            </w:tcBorders>
            <w:shd w:val="clear" w:color="auto" w:fill="FFFFFF"/>
            <w:hideMark/>
          </w:tcPr>
          <w:p w:rsidR="00105932" w:rsidRDefault="00105932">
            <w:pPr>
              <w:autoSpaceDE/>
              <w:adjustRightInd/>
              <w:spacing w:line="160" w:lineRule="exact"/>
              <w:jc w:val="center"/>
              <w:rPr>
                <w:color w:val="000000"/>
                <w:spacing w:val="-1"/>
                <w:sz w:val="21"/>
                <w:szCs w:val="21"/>
                <w:lang w:eastAsia="en-US" w:bidi="ru-RU"/>
              </w:rPr>
            </w:pPr>
            <w:r>
              <w:rPr>
                <w:b/>
                <w:bCs/>
                <w:color w:val="000000"/>
                <w:spacing w:val="-2"/>
                <w:sz w:val="16"/>
                <w:szCs w:val="16"/>
                <w:lang w:eastAsia="en-US" w:bidi="ru-RU"/>
              </w:rPr>
              <w:t>с НДС</w:t>
            </w:r>
          </w:p>
        </w:tc>
        <w:tc>
          <w:tcPr>
            <w:tcW w:w="1512" w:type="dxa"/>
            <w:tcBorders>
              <w:top w:val="single" w:sz="4" w:space="0" w:color="auto"/>
              <w:left w:val="single" w:sz="4" w:space="0" w:color="auto"/>
              <w:bottom w:val="nil"/>
              <w:right w:val="single" w:sz="4" w:space="0" w:color="auto"/>
            </w:tcBorders>
            <w:shd w:val="clear" w:color="auto" w:fill="FFFFFF"/>
            <w:hideMark/>
          </w:tcPr>
          <w:p w:rsidR="00105932" w:rsidRDefault="00105932">
            <w:pPr>
              <w:autoSpaceDE/>
              <w:adjustRightInd/>
              <w:spacing w:line="160" w:lineRule="exact"/>
              <w:jc w:val="center"/>
              <w:rPr>
                <w:color w:val="000000"/>
                <w:spacing w:val="-1"/>
                <w:sz w:val="21"/>
                <w:szCs w:val="21"/>
                <w:lang w:eastAsia="en-US" w:bidi="ru-RU"/>
              </w:rPr>
            </w:pPr>
            <w:r>
              <w:rPr>
                <w:b/>
                <w:bCs/>
                <w:color w:val="000000"/>
                <w:spacing w:val="-2"/>
                <w:sz w:val="16"/>
                <w:szCs w:val="16"/>
                <w:lang w:eastAsia="en-US" w:bidi="ru-RU"/>
              </w:rPr>
              <w:t>без НДС</w:t>
            </w:r>
          </w:p>
        </w:tc>
      </w:tr>
      <w:tr w:rsidR="00105932" w:rsidTr="00105932">
        <w:trPr>
          <w:trHeight w:hRule="exact" w:val="806"/>
        </w:trPr>
        <w:tc>
          <w:tcPr>
            <w:tcW w:w="1893" w:type="dxa"/>
            <w:tcBorders>
              <w:top w:val="single" w:sz="4" w:space="0" w:color="auto"/>
              <w:left w:val="single" w:sz="4" w:space="0" w:color="auto"/>
              <w:bottom w:val="single" w:sz="4" w:space="0" w:color="auto"/>
              <w:right w:val="nil"/>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c>
          <w:tcPr>
            <w:tcW w:w="1797" w:type="dxa"/>
            <w:tcBorders>
              <w:top w:val="single" w:sz="4" w:space="0" w:color="auto"/>
              <w:left w:val="single" w:sz="4" w:space="0" w:color="auto"/>
              <w:bottom w:val="single" w:sz="4" w:space="0" w:color="auto"/>
              <w:right w:val="nil"/>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c>
          <w:tcPr>
            <w:tcW w:w="1650" w:type="dxa"/>
            <w:tcBorders>
              <w:top w:val="single" w:sz="4" w:space="0" w:color="auto"/>
              <w:left w:val="single" w:sz="4" w:space="0" w:color="auto"/>
              <w:bottom w:val="single" w:sz="4" w:space="0" w:color="auto"/>
              <w:right w:val="nil"/>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c>
          <w:tcPr>
            <w:tcW w:w="1664" w:type="dxa"/>
            <w:tcBorders>
              <w:top w:val="single" w:sz="4" w:space="0" w:color="auto"/>
              <w:left w:val="single" w:sz="4" w:space="0" w:color="auto"/>
              <w:bottom w:val="single" w:sz="4" w:space="0" w:color="auto"/>
              <w:right w:val="nil"/>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c>
          <w:tcPr>
            <w:tcW w:w="1370" w:type="dxa"/>
            <w:tcBorders>
              <w:top w:val="single" w:sz="4" w:space="0" w:color="auto"/>
              <w:left w:val="single" w:sz="4" w:space="0" w:color="auto"/>
              <w:bottom w:val="single" w:sz="4" w:space="0" w:color="auto"/>
              <w:right w:val="nil"/>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105932" w:rsidRDefault="00105932">
            <w:pPr>
              <w:autoSpaceDE/>
              <w:adjustRightInd/>
              <w:spacing w:line="276" w:lineRule="auto"/>
              <w:rPr>
                <w:rFonts w:ascii="Courier New" w:eastAsia="Courier New" w:hAnsi="Courier New" w:cs="Courier New"/>
                <w:color w:val="000000"/>
                <w:sz w:val="10"/>
                <w:szCs w:val="10"/>
                <w:lang w:eastAsia="en-US" w:bidi="ru-RU"/>
              </w:rPr>
            </w:pPr>
          </w:p>
        </w:tc>
      </w:tr>
    </w:tbl>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color w:val="000000"/>
          <w:spacing w:val="-1"/>
          <w:sz w:val="21"/>
          <w:szCs w:val="21"/>
          <w:lang w:bidi="ru-RU"/>
        </w:rPr>
      </w:pPr>
    </w:p>
    <w:p w:rsidR="00105932" w:rsidRDefault="00105932" w:rsidP="00105932">
      <w:pPr>
        <w:tabs>
          <w:tab w:val="left" w:pos="703"/>
        </w:tabs>
        <w:adjustRightInd/>
        <w:jc w:val="both"/>
        <w:rPr>
          <w:b/>
          <w:i/>
          <w:sz w:val="26"/>
          <w:szCs w:val="26"/>
        </w:rPr>
      </w:pPr>
      <w:r>
        <w:rPr>
          <w:color w:val="000000"/>
          <w:spacing w:val="-1"/>
          <w:sz w:val="21"/>
          <w:szCs w:val="21"/>
          <w:lang w:bidi="ru-RU"/>
        </w:rPr>
        <w:tab/>
      </w:r>
    </w:p>
    <w:p w:rsidR="00105932" w:rsidRDefault="00105932" w:rsidP="00105932">
      <w:pPr>
        <w:tabs>
          <w:tab w:val="left" w:pos="703"/>
        </w:tabs>
        <w:adjustRightInd/>
        <w:jc w:val="both"/>
        <w:rPr>
          <w:b/>
          <w:i/>
          <w:sz w:val="26"/>
          <w:szCs w:val="26"/>
        </w:rPr>
      </w:pPr>
      <w:r>
        <w:rPr>
          <w:color w:val="000000"/>
          <w:spacing w:val="-1"/>
          <w:sz w:val="21"/>
          <w:szCs w:val="21"/>
          <w:lang w:bidi="ru-RU"/>
        </w:rPr>
        <w:t>Обязуюсь в случае изменения каких-либо данных о субпоставщике(ах)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105932" w:rsidRDefault="00105932" w:rsidP="00105932">
      <w:pPr>
        <w:tabs>
          <w:tab w:val="center" w:leader="underscore" w:pos="4829"/>
          <w:tab w:val="right" w:pos="6389"/>
          <w:tab w:val="right" w:pos="6878"/>
          <w:tab w:val="right" w:pos="7786"/>
          <w:tab w:val="right" w:pos="9288"/>
        </w:tabs>
        <w:autoSpaceDE/>
        <w:adjustRightInd/>
        <w:spacing w:line="451" w:lineRule="exact"/>
        <w:ind w:left="120"/>
        <w:jc w:val="both"/>
        <w:rPr>
          <w:color w:val="000000"/>
          <w:spacing w:val="-1"/>
          <w:sz w:val="21"/>
          <w:szCs w:val="21"/>
          <w:lang w:bidi="ru-RU"/>
        </w:rPr>
      </w:pPr>
      <w:r>
        <w:rPr>
          <w:color w:val="000000"/>
          <w:spacing w:val="-1"/>
          <w:sz w:val="21"/>
          <w:szCs w:val="21"/>
          <w:lang w:bidi="ru-RU"/>
        </w:rPr>
        <w:tab/>
        <w:t>[должность,</w:t>
      </w:r>
      <w:r>
        <w:rPr>
          <w:color w:val="000000"/>
          <w:spacing w:val="-1"/>
          <w:sz w:val="21"/>
          <w:szCs w:val="21"/>
          <w:lang w:bidi="ru-RU"/>
        </w:rPr>
        <w:tab/>
        <w:t>фамилия,</w:t>
      </w:r>
      <w:r>
        <w:rPr>
          <w:color w:val="000000"/>
          <w:spacing w:val="-1"/>
          <w:sz w:val="21"/>
          <w:szCs w:val="21"/>
          <w:lang w:bidi="ru-RU"/>
        </w:rPr>
        <w:tab/>
        <w:t>имя,</w:t>
      </w:r>
      <w:r>
        <w:rPr>
          <w:color w:val="000000"/>
          <w:spacing w:val="-1"/>
          <w:sz w:val="21"/>
          <w:szCs w:val="21"/>
          <w:lang w:bidi="ru-RU"/>
        </w:rPr>
        <w:tab/>
        <w:t>отчество</w:t>
      </w:r>
      <w:r>
        <w:rPr>
          <w:color w:val="000000"/>
          <w:spacing w:val="-1"/>
          <w:sz w:val="21"/>
          <w:szCs w:val="21"/>
          <w:lang w:bidi="ru-RU"/>
        </w:rPr>
        <w:tab/>
        <w:t>подписавшего]</w:t>
      </w:r>
    </w:p>
    <w:p w:rsidR="00105932" w:rsidRDefault="00105932" w:rsidP="00105932">
      <w:pPr>
        <w:tabs>
          <w:tab w:val="left" w:leader="underscore" w:pos="1834"/>
        </w:tabs>
        <w:autoSpaceDE/>
        <w:adjustRightInd/>
        <w:spacing w:line="451" w:lineRule="exact"/>
        <w:ind w:left="120"/>
        <w:jc w:val="both"/>
        <w:rPr>
          <w:color w:val="000000"/>
          <w:spacing w:val="-1"/>
          <w:sz w:val="21"/>
          <w:szCs w:val="21"/>
          <w:lang w:bidi="ru-RU"/>
        </w:rPr>
      </w:pPr>
      <w:r>
        <w:rPr>
          <w:color w:val="000000"/>
          <w:spacing w:val="-1"/>
          <w:sz w:val="21"/>
          <w:szCs w:val="21"/>
          <w:lang w:bidi="ru-RU"/>
        </w:rPr>
        <w:tab/>
        <w:t>[наименование Юридического/Физического лица]</w:t>
      </w:r>
    </w:p>
    <w:p w:rsidR="00105932" w:rsidRDefault="00105932" w:rsidP="00105932">
      <w:pPr>
        <w:tabs>
          <w:tab w:val="left" w:leader="underscore" w:pos="1834"/>
          <w:tab w:val="right" w:leader="underscore" w:pos="4718"/>
          <w:tab w:val="right" w:pos="6173"/>
        </w:tabs>
        <w:autoSpaceDE/>
        <w:adjustRightInd/>
        <w:spacing w:line="451" w:lineRule="exact"/>
        <w:ind w:left="120"/>
        <w:jc w:val="both"/>
        <w:rPr>
          <w:color w:val="000000"/>
          <w:spacing w:val="-1"/>
          <w:sz w:val="21"/>
          <w:szCs w:val="21"/>
          <w:lang w:bidi="ru-RU"/>
        </w:rPr>
      </w:pPr>
      <w:r>
        <w:rPr>
          <w:color w:val="000000"/>
          <w:spacing w:val="-1"/>
          <w:sz w:val="21"/>
          <w:szCs w:val="21"/>
          <w:lang w:bidi="ru-RU"/>
        </w:rPr>
        <w:tab/>
        <w:t>/</w:t>
      </w:r>
      <w:r>
        <w:rPr>
          <w:color w:val="000000"/>
          <w:spacing w:val="-1"/>
          <w:sz w:val="21"/>
          <w:szCs w:val="21"/>
          <w:lang w:bidi="ru-RU"/>
        </w:rPr>
        <w:tab/>
        <w:t>/[подпись</w:t>
      </w:r>
      <w:r>
        <w:rPr>
          <w:color w:val="000000"/>
          <w:spacing w:val="-1"/>
          <w:sz w:val="21"/>
          <w:szCs w:val="21"/>
          <w:lang w:bidi="ru-RU"/>
        </w:rPr>
        <w:tab/>
        <w:t>/расшифровка]</w:t>
      </w:r>
    </w:p>
    <w:p w:rsidR="00105932" w:rsidRDefault="00105932" w:rsidP="00105932">
      <w:pPr>
        <w:autoSpaceDE/>
        <w:adjustRightInd/>
        <w:spacing w:line="210" w:lineRule="exact"/>
        <w:ind w:left="120"/>
        <w:jc w:val="both"/>
        <w:rPr>
          <w:color w:val="000000"/>
          <w:spacing w:val="-1"/>
          <w:sz w:val="21"/>
          <w:szCs w:val="21"/>
          <w:lang w:bidi="ru-RU"/>
        </w:rPr>
      </w:pPr>
      <w:proofErr w:type="spellStart"/>
      <w:r>
        <w:rPr>
          <w:color w:val="000000"/>
          <w:spacing w:val="-1"/>
          <w:sz w:val="21"/>
          <w:szCs w:val="21"/>
          <w:lang w:bidi="ru-RU"/>
        </w:rPr>
        <w:t>м.п</w:t>
      </w:r>
      <w:proofErr w:type="spellEnd"/>
      <w:r>
        <w:rPr>
          <w:color w:val="000000"/>
          <w:spacing w:val="-1"/>
          <w:sz w:val="21"/>
          <w:szCs w:val="21"/>
          <w:lang w:bidi="ru-RU"/>
        </w:rPr>
        <w:t>.</w:t>
      </w:r>
    </w:p>
    <w:p w:rsidR="00105932" w:rsidRDefault="00105932" w:rsidP="00105932">
      <w:pPr>
        <w:tabs>
          <w:tab w:val="left" w:pos="703"/>
        </w:tabs>
        <w:adjustRightInd/>
        <w:ind w:firstLine="709"/>
        <w:jc w:val="both"/>
        <w:rPr>
          <w:b/>
          <w:i/>
          <w:sz w:val="26"/>
          <w:szCs w:val="26"/>
        </w:rPr>
      </w:pPr>
    </w:p>
    <w:p w:rsidR="00105932" w:rsidRDefault="00105932" w:rsidP="00105932">
      <w:pPr>
        <w:tabs>
          <w:tab w:val="left" w:pos="11505"/>
        </w:tabs>
      </w:pPr>
    </w:p>
    <w:p w:rsidR="00105932" w:rsidRDefault="00105932" w:rsidP="00105932">
      <w:pPr>
        <w:tabs>
          <w:tab w:val="left" w:pos="11505"/>
        </w:tabs>
      </w:pPr>
    </w:p>
    <w:p w:rsidR="00590EA1" w:rsidRPr="00BE78B8" w:rsidRDefault="00590EA1" w:rsidP="00551198">
      <w:pPr>
        <w:jc w:val="right"/>
        <w:rPr>
          <w:sz w:val="24"/>
          <w:szCs w:val="24"/>
        </w:rPr>
      </w:pPr>
      <w:bookmarkStart w:id="0" w:name="_GoBack"/>
      <w:bookmarkEnd w:id="0"/>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082" w:rsidRDefault="00923082">
      <w:r>
        <w:separator/>
      </w:r>
    </w:p>
  </w:endnote>
  <w:endnote w:type="continuationSeparator" w:id="0">
    <w:p w:rsidR="00923082" w:rsidRDefault="0092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082" w:rsidRDefault="00923082">
      <w:r>
        <w:separator/>
      </w:r>
    </w:p>
  </w:footnote>
  <w:footnote w:type="continuationSeparator" w:id="0">
    <w:p w:rsidR="00923082" w:rsidRDefault="009230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024D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05932"/>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D3938"/>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30AA7"/>
    <w:rsid w:val="006610E9"/>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043D"/>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4540"/>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23082"/>
    <w:rsid w:val="00933C38"/>
    <w:rsid w:val="0094427B"/>
    <w:rsid w:val="00945165"/>
    <w:rsid w:val="009528CC"/>
    <w:rsid w:val="0095347D"/>
    <w:rsid w:val="00961332"/>
    <w:rsid w:val="009822A2"/>
    <w:rsid w:val="00982441"/>
    <w:rsid w:val="00986971"/>
    <w:rsid w:val="00994C97"/>
    <w:rsid w:val="009A24C4"/>
    <w:rsid w:val="009A3B09"/>
    <w:rsid w:val="009B1173"/>
    <w:rsid w:val="009C079A"/>
    <w:rsid w:val="009E1804"/>
    <w:rsid w:val="009E30E2"/>
    <w:rsid w:val="009F4D5C"/>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0734"/>
    <w:rsid w:val="00BC29D9"/>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0318"/>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0265"/>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293563900">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3226</Words>
  <Characters>18392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Терешкина</cp:lastModifiedBy>
  <cp:revision>6</cp:revision>
  <cp:lastPrinted>2011-07-15T06:28:00Z</cp:lastPrinted>
  <dcterms:created xsi:type="dcterms:W3CDTF">2015-02-16T06:17:00Z</dcterms:created>
  <dcterms:modified xsi:type="dcterms:W3CDTF">2015-02-17T00:19:00Z</dcterms:modified>
</cp:coreProperties>
</file>