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E74BC7">
        <w:rPr>
          <w:sz w:val="26"/>
          <w:szCs w:val="26"/>
        </w:rPr>
        <w:t>директора филиала ОАО «ДРСК» «Амурские электрические сети»</w:t>
      </w:r>
      <w:r w:rsidR="00EF2686">
        <w:rPr>
          <w:sz w:val="26"/>
          <w:szCs w:val="26"/>
        </w:rPr>
        <w:t xml:space="preserve"> </w:t>
      </w:r>
      <w:proofErr w:type="spellStart"/>
      <w:r w:rsidR="00EF2686" w:rsidRPr="00EF2686">
        <w:rPr>
          <w:b/>
          <w:sz w:val="26"/>
          <w:szCs w:val="26"/>
        </w:rPr>
        <w:t>Семенюка</w:t>
      </w:r>
      <w:proofErr w:type="spellEnd"/>
      <w:r w:rsidR="00EF2686" w:rsidRPr="00EF2686">
        <w:rPr>
          <w:b/>
          <w:sz w:val="26"/>
          <w:szCs w:val="26"/>
        </w:rPr>
        <w:t xml:space="preserve"> Евгения Валентиновича</w:t>
      </w:r>
      <w:r w:rsidRPr="00D17EA0">
        <w:rPr>
          <w:sz w:val="26"/>
          <w:szCs w:val="26"/>
        </w:rPr>
        <w:t xml:space="preserve">, действующего на основании доверенности от </w:t>
      </w:r>
      <w:r w:rsidR="00266002">
        <w:rPr>
          <w:sz w:val="26"/>
          <w:szCs w:val="26"/>
        </w:rPr>
        <w:t xml:space="preserve">01.01.2015 </w:t>
      </w:r>
      <w:r w:rsidRPr="00D17EA0">
        <w:rPr>
          <w:sz w:val="26"/>
          <w:szCs w:val="26"/>
        </w:rPr>
        <w:t xml:space="preserve">г. № </w:t>
      </w:r>
      <w:r w:rsidR="00266002">
        <w:rPr>
          <w:sz w:val="26"/>
          <w:szCs w:val="26"/>
        </w:rPr>
        <w:t>15</w:t>
      </w:r>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 xml:space="preserve">___________, объявленной извещением от ______№ </w:t>
      </w:r>
      <w:r w:rsidR="00266002">
        <w:rPr>
          <w:i/>
          <w:iCs/>
          <w:sz w:val="26"/>
          <w:szCs w:val="26"/>
        </w:rPr>
        <w:t>__</w:t>
      </w:r>
      <w:r w:rsidRPr="00D17EA0">
        <w:rPr>
          <w:i/>
          <w:iCs/>
          <w:sz w:val="26"/>
          <w:szCs w:val="26"/>
        </w:rPr>
        <w:t>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266002">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266002">
        <w:rPr>
          <w:b/>
          <w:bCs/>
          <w:i/>
          <w:iCs/>
          <w:sz w:val="26"/>
          <w:szCs w:val="26"/>
        </w:rPr>
        <w:t>о</w:t>
      </w:r>
      <w:r w:rsidR="00266002" w:rsidRPr="00266002">
        <w:rPr>
          <w:b/>
          <w:bCs/>
          <w:i/>
          <w:iCs/>
          <w:sz w:val="26"/>
          <w:szCs w:val="26"/>
        </w:rPr>
        <w:t>снащени</w:t>
      </w:r>
      <w:r w:rsidR="00266002">
        <w:rPr>
          <w:b/>
          <w:bCs/>
          <w:i/>
          <w:iCs/>
          <w:sz w:val="26"/>
          <w:szCs w:val="26"/>
        </w:rPr>
        <w:t>ю</w:t>
      </w:r>
      <w:r w:rsidR="00266002" w:rsidRPr="00266002">
        <w:rPr>
          <w:b/>
          <w:bCs/>
          <w:i/>
          <w:iCs/>
          <w:sz w:val="26"/>
          <w:szCs w:val="26"/>
        </w:rPr>
        <w:t xml:space="preserve"> быстродействующими защитами транзитов 110 </w:t>
      </w:r>
      <w:proofErr w:type="spellStart"/>
      <w:r w:rsidR="00266002" w:rsidRPr="00266002">
        <w:rPr>
          <w:b/>
          <w:bCs/>
          <w:i/>
          <w:iCs/>
          <w:sz w:val="26"/>
          <w:szCs w:val="26"/>
        </w:rPr>
        <w:t>кВ</w:t>
      </w:r>
      <w:proofErr w:type="spellEnd"/>
      <w:r w:rsidR="00266002" w:rsidRPr="00266002">
        <w:rPr>
          <w:b/>
          <w:bCs/>
          <w:i/>
          <w:iCs/>
          <w:sz w:val="26"/>
          <w:szCs w:val="26"/>
        </w:rPr>
        <w:t xml:space="preserve"> (ЦП 2.3), фил</w:t>
      </w:r>
      <w:r w:rsidR="00266002">
        <w:rPr>
          <w:b/>
          <w:bCs/>
          <w:i/>
          <w:iCs/>
          <w:sz w:val="26"/>
          <w:szCs w:val="26"/>
        </w:rPr>
        <w:t>и</w:t>
      </w:r>
      <w:r w:rsidR="00266002" w:rsidRPr="00266002">
        <w:rPr>
          <w:b/>
          <w:bCs/>
          <w:i/>
          <w:iCs/>
          <w:sz w:val="26"/>
          <w:szCs w:val="26"/>
        </w:rPr>
        <w:t xml:space="preserve">ала "АЭС"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с момента заключения договора. </w:t>
      </w:r>
      <w:r w:rsidRPr="00CC2F52">
        <w:rPr>
          <w:sz w:val="26"/>
          <w:szCs w:val="26"/>
        </w:rPr>
        <w:t xml:space="preserve">Работы по Договору должны быть завершены и объект должен быть подготовлен к сдаче в эксплуатацию не позднее </w:t>
      </w:r>
      <w:r w:rsidR="00E74BC7">
        <w:rPr>
          <w:sz w:val="26"/>
          <w:szCs w:val="26"/>
        </w:rPr>
        <w:t xml:space="preserve">30 </w:t>
      </w:r>
      <w:r w:rsidR="00266002">
        <w:rPr>
          <w:sz w:val="26"/>
          <w:szCs w:val="26"/>
        </w:rPr>
        <w:t>сентя</w:t>
      </w:r>
      <w:r w:rsidR="00E74BC7">
        <w:rPr>
          <w:sz w:val="26"/>
          <w:szCs w:val="26"/>
        </w:rPr>
        <w:t xml:space="preserve">бря 2015 </w:t>
      </w:r>
      <w:r w:rsidRPr="00CC2F52">
        <w:rPr>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 xml:space="preserve">Сводной таблицей стоимости </w:t>
      </w:r>
      <w:r w:rsidRPr="00D17EA0">
        <w:rPr>
          <w:sz w:val="26"/>
          <w:szCs w:val="26"/>
        </w:rPr>
        <w:lastRenderedPageBreak/>
        <w:t>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F2686">
        <w:rPr>
          <w:sz w:val="26"/>
          <w:szCs w:val="26"/>
        </w:rPr>
        <w:t>30</w:t>
      </w:r>
      <w:r w:rsidRPr="00D17EA0">
        <w:rPr>
          <w:sz w:val="26"/>
          <w:szCs w:val="26"/>
        </w:rPr>
        <w:t>.</w:t>
      </w:r>
      <w:r w:rsidR="00266002">
        <w:rPr>
          <w:sz w:val="26"/>
          <w:szCs w:val="26"/>
        </w:rPr>
        <w:t>09</w:t>
      </w:r>
      <w:r w:rsidRPr="00D17EA0">
        <w:rPr>
          <w:sz w:val="26"/>
          <w:szCs w:val="26"/>
        </w:rPr>
        <w:t>.20</w:t>
      </w:r>
      <w:r w:rsidR="00EF2686">
        <w:rPr>
          <w:sz w:val="26"/>
          <w:szCs w:val="26"/>
        </w:rPr>
        <w:t>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w:t>
      </w:r>
      <w:r w:rsidRPr="00D17EA0">
        <w:rPr>
          <w:bCs/>
          <w:sz w:val="26"/>
          <w:szCs w:val="26"/>
        </w:rPr>
        <w:lastRenderedPageBreak/>
        <w:t>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случае происшествия, связанного с аварией, нанесением экологического </w:t>
      </w:r>
      <w:r w:rsidRPr="00D17EA0">
        <w:rPr>
          <w:sz w:val="26"/>
          <w:szCs w:val="26"/>
        </w:rPr>
        <w:lastRenderedPageBreak/>
        <w:t>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w:t>
      </w:r>
      <w:r w:rsidR="00990C36" w:rsidRPr="00D17EA0">
        <w:rPr>
          <w:iCs/>
          <w:sz w:val="26"/>
          <w:szCs w:val="26"/>
        </w:rPr>
        <w:lastRenderedPageBreak/>
        <w:t>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CC2F52">
        <w:rPr>
          <w:sz w:val="26"/>
          <w:szCs w:val="26"/>
        </w:rPr>
        <w:lastRenderedPageBreak/>
        <w:t>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E74BC7">
        <w:rPr>
          <w:bCs/>
          <w:iCs/>
          <w:sz w:val="26"/>
          <w:szCs w:val="26"/>
        </w:rPr>
        <w:t xml:space="preserve">36 </w:t>
      </w:r>
      <w:r w:rsidRPr="00100B54">
        <w:rPr>
          <w:bCs/>
          <w:iCs/>
          <w:sz w:val="26"/>
          <w:szCs w:val="26"/>
        </w:rPr>
        <w:t>(</w:t>
      </w:r>
      <w:r w:rsidR="00E74BC7">
        <w:rPr>
          <w:bCs/>
          <w:iCs/>
          <w:sz w:val="26"/>
          <w:szCs w:val="26"/>
        </w:rPr>
        <w:t>тридцать шесть</w:t>
      </w:r>
      <w:r w:rsidRPr="00100B54">
        <w:rPr>
          <w:sz w:val="26"/>
          <w:szCs w:val="26"/>
        </w:rPr>
        <w:t>)</w:t>
      </w:r>
      <w:r w:rsidR="00E74BC7">
        <w:rPr>
          <w:sz w:val="26"/>
          <w:szCs w:val="26"/>
        </w:rPr>
        <w:t xml:space="preserve"> месяцев</w:t>
      </w:r>
      <w:r w:rsidRPr="00100B5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4BC7">
        <w:rPr>
          <w:bCs/>
          <w:iCs/>
          <w:sz w:val="26"/>
          <w:szCs w:val="26"/>
        </w:rPr>
        <w:t xml:space="preserve">36 </w:t>
      </w:r>
      <w:r w:rsidR="004416E1" w:rsidRPr="00100B54">
        <w:rPr>
          <w:bCs/>
          <w:iCs/>
          <w:sz w:val="26"/>
          <w:szCs w:val="26"/>
        </w:rPr>
        <w:t>(</w:t>
      </w:r>
      <w:r w:rsidR="00EF2686">
        <w:rPr>
          <w:bCs/>
          <w:iCs/>
          <w:sz w:val="26"/>
          <w:szCs w:val="26"/>
        </w:rPr>
        <w:t>тридцати шести</w:t>
      </w:r>
      <w:r w:rsidRPr="00100B54">
        <w:rPr>
          <w:bCs/>
          <w:iCs/>
          <w:sz w:val="26"/>
          <w:szCs w:val="26"/>
        </w:rPr>
        <w:t>)</w:t>
      </w:r>
      <w:r w:rsidR="00EF2686">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100B5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 xml:space="preserve">Заказчик принимает на себя обязательство по поставке строительных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00100B54">
        <w:rPr>
          <w:iCs/>
          <w:sz w:val="26"/>
          <w:szCs w:val="26"/>
        </w:rPr>
        <w:t>.</w:t>
      </w:r>
    </w:p>
    <w:p w:rsidR="00C46FEC" w:rsidRPr="00100B54" w:rsidRDefault="0082144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Заказчик поставляет материалы Подрядчику на основании договоров купли-продажи.</w:t>
      </w:r>
      <w:r w:rsidR="00351F4B" w:rsidRPr="00100B54">
        <w:rPr>
          <w:iCs/>
          <w:sz w:val="26"/>
          <w:szCs w:val="26"/>
        </w:rPr>
        <w:t xml:space="preserve"> </w:t>
      </w:r>
      <w:r w:rsidR="003045E1" w:rsidRPr="00100B54">
        <w:rPr>
          <w:iCs/>
          <w:sz w:val="26"/>
          <w:szCs w:val="26"/>
        </w:rPr>
        <w:t>О</w:t>
      </w:r>
      <w:r w:rsidR="00351F4B" w:rsidRPr="00100B54">
        <w:rPr>
          <w:iCs/>
          <w:sz w:val="26"/>
          <w:szCs w:val="26"/>
        </w:rPr>
        <w:t>борудовани</w:t>
      </w:r>
      <w:r w:rsidR="003045E1" w:rsidRPr="00100B54">
        <w:rPr>
          <w:iCs/>
          <w:sz w:val="26"/>
          <w:szCs w:val="26"/>
        </w:rPr>
        <w:t xml:space="preserve">е, поставляемое Заказчиком, передается Подрядчику </w:t>
      </w:r>
      <w:r w:rsidR="00351F4B" w:rsidRPr="00100B54">
        <w:rPr>
          <w:iCs/>
          <w:sz w:val="26"/>
          <w:szCs w:val="26"/>
        </w:rPr>
        <w:t>на основании акта передачи оборудования в монтаж.</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lastRenderedPageBreak/>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Pr="00100B54">
        <w:rPr>
          <w:iCs/>
          <w:sz w:val="26"/>
          <w:szCs w:val="26"/>
        </w:rPr>
        <w:t>(</w:t>
      </w:r>
      <w:r w:rsidR="00100B54" w:rsidRPr="00100B54">
        <w:rPr>
          <w:iCs/>
          <w:sz w:val="26"/>
          <w:szCs w:val="26"/>
          <w:u w:val="single"/>
        </w:rPr>
        <w:t>заказчиком</w:t>
      </w:r>
      <w:r w:rsidR="00100B54" w:rsidRPr="00100B54">
        <w:rPr>
          <w:iCs/>
          <w:sz w:val="26"/>
          <w:szCs w:val="26"/>
        </w:rPr>
        <w:t xml:space="preserve"> - в</w:t>
      </w:r>
      <w:r w:rsidR="00B47359" w:rsidRPr="00100B54">
        <w:rPr>
          <w:iCs/>
          <w:sz w:val="26"/>
          <w:szCs w:val="26"/>
        </w:rPr>
        <w:t xml:space="preserve"> отношении материалов и оборудования, поставку которых он обеспечивает)</w:t>
      </w:r>
      <w:r w:rsidRPr="00100B54">
        <w:rPr>
          <w:sz w:val="26"/>
          <w:szCs w:val="26"/>
        </w:rPr>
        <w:t xml:space="preserve"> </w:t>
      </w:r>
      <w:r w:rsidRPr="00D17EA0">
        <w:rPr>
          <w:sz w:val="26"/>
          <w:szCs w:val="26"/>
        </w:rPr>
        <w:t>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w:t>
      </w:r>
      <w:r w:rsidRPr="00D17EA0">
        <w:rPr>
          <w:sz w:val="26"/>
          <w:szCs w:val="26"/>
        </w:rPr>
        <w:lastRenderedPageBreak/>
        <w:t>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lastRenderedPageBreak/>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w:t>
      </w:r>
      <w:r w:rsidRPr="00D17EA0">
        <w:rPr>
          <w:sz w:val="26"/>
          <w:szCs w:val="26"/>
        </w:rPr>
        <w:lastRenderedPageBreak/>
        <w:t>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4C5FC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w:t>
      </w:r>
      <w:r w:rsidRPr="00D17EA0">
        <w:rPr>
          <w:sz w:val="26"/>
          <w:szCs w:val="26"/>
        </w:rPr>
        <w:lastRenderedPageBreak/>
        <w:t xml:space="preserve">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r w:rsidRPr="00D17EA0">
        <w:rPr>
          <w:spacing w:val="-6"/>
          <w:sz w:val="26"/>
          <w:szCs w:val="26"/>
        </w:rPr>
        <w:t>но</w:t>
      </w:r>
      <w:r w:rsidR="00266002">
        <w:rPr>
          <w:spacing w:val="-6"/>
          <w:sz w:val="26"/>
          <w:szCs w:val="26"/>
        </w:rPr>
        <w:t>,</w:t>
      </w:r>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(война</w:t>
      </w:r>
      <w:r w:rsidR="00266002">
        <w:rPr>
          <w:spacing w:val="-6"/>
          <w:sz w:val="26"/>
          <w:szCs w:val="26"/>
        </w:rPr>
        <w:t>,</w:t>
      </w:r>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bookmarkStart w:id="0" w:name="_GoBack"/>
      <w:bookmarkEnd w:id="0"/>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lastRenderedPageBreak/>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w:t>
      </w:r>
      <w:r w:rsidRPr="00D17EA0">
        <w:rPr>
          <w:sz w:val="26"/>
          <w:szCs w:val="26"/>
        </w:rPr>
        <w:lastRenderedPageBreak/>
        <w:t xml:space="preserve">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 «</w:t>
      </w:r>
      <w:r w:rsidR="00266002">
        <w:rPr>
          <w:rFonts w:ascii="Times New Roman" w:hAnsi="Times New Roman" w:cs="Times New Roman"/>
          <w:sz w:val="26"/>
          <w:szCs w:val="26"/>
        </w:rPr>
        <w:t>31</w:t>
      </w:r>
      <w:r w:rsidRPr="00D17EA0">
        <w:rPr>
          <w:rFonts w:ascii="Times New Roman" w:hAnsi="Times New Roman" w:cs="Times New Roman"/>
          <w:sz w:val="26"/>
          <w:szCs w:val="26"/>
        </w:rPr>
        <w:t>»</w:t>
      </w:r>
      <w:r w:rsidR="00EF2686">
        <w:rPr>
          <w:rFonts w:ascii="Times New Roman" w:hAnsi="Times New Roman" w:cs="Times New Roman"/>
          <w:sz w:val="26"/>
          <w:szCs w:val="26"/>
        </w:rPr>
        <w:t xml:space="preserve"> </w:t>
      </w:r>
      <w:r w:rsidR="00266002">
        <w:rPr>
          <w:rFonts w:ascii="Times New Roman" w:hAnsi="Times New Roman" w:cs="Times New Roman"/>
          <w:sz w:val="26"/>
          <w:szCs w:val="26"/>
        </w:rPr>
        <w:t>декабр</w:t>
      </w:r>
      <w:r w:rsidR="00EF2686">
        <w:rPr>
          <w:rFonts w:ascii="Times New Roman" w:hAnsi="Times New Roman" w:cs="Times New Roman"/>
          <w:sz w:val="26"/>
          <w:szCs w:val="26"/>
        </w:rPr>
        <w:t>я</w:t>
      </w:r>
      <w:r w:rsidRPr="00D17EA0">
        <w:rPr>
          <w:rFonts w:ascii="Times New Roman" w:hAnsi="Times New Roman" w:cs="Times New Roman"/>
          <w:sz w:val="26"/>
          <w:szCs w:val="26"/>
        </w:rPr>
        <w:t xml:space="preserve"> 20</w:t>
      </w:r>
      <w:r w:rsidR="00EF2686">
        <w:rPr>
          <w:rFonts w:ascii="Times New Roman" w:hAnsi="Times New Roman" w:cs="Times New Roman"/>
          <w:sz w:val="26"/>
          <w:szCs w:val="26"/>
        </w:rPr>
        <w:t>1</w:t>
      </w:r>
      <w:r w:rsidR="00266002">
        <w:rPr>
          <w:rFonts w:ascii="Times New Roman" w:hAnsi="Times New Roman" w:cs="Times New Roman"/>
          <w:sz w:val="26"/>
          <w:szCs w:val="26"/>
        </w:rPr>
        <w:t>5</w:t>
      </w:r>
      <w:r w:rsidR="00EF2686">
        <w:rPr>
          <w:rFonts w:ascii="Times New Roman" w:hAnsi="Times New Roman" w:cs="Times New Roman"/>
          <w:sz w:val="26"/>
          <w:szCs w:val="26"/>
        </w:rPr>
        <w:t xml:space="preserve">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lastRenderedPageBreak/>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CF6AF6">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CF6AF6">
                    <w:trPr>
                      <w:trHeight w:val="2658"/>
                    </w:trPr>
                    <w:tc>
                      <w:tcPr>
                        <w:tcW w:w="5000" w:type="pct"/>
                      </w:tcPr>
                      <w:p w:rsidR="007116CF" w:rsidRPr="000D5377" w:rsidRDefault="007116CF" w:rsidP="007116CF">
                        <w:pPr>
                          <w:shd w:val="clear" w:color="auto" w:fill="FFFFFF"/>
                          <w:ind w:hanging="34"/>
                          <w:rPr>
                            <w:b/>
                            <w:sz w:val="26"/>
                            <w:szCs w:val="26"/>
                          </w:rPr>
                        </w:pPr>
                        <w:r w:rsidRPr="000D5377">
                          <w:rPr>
                            <w:b/>
                            <w:sz w:val="26"/>
                            <w:szCs w:val="26"/>
                          </w:rPr>
                          <w:t>ОАО «Дальневосточная распределительная сетевая компания»</w:t>
                        </w:r>
                      </w:p>
                      <w:p w:rsidR="007116CF" w:rsidRPr="00A9675B" w:rsidRDefault="007116CF" w:rsidP="007116CF">
                        <w:pPr>
                          <w:rPr>
                            <w:sz w:val="26"/>
                            <w:szCs w:val="26"/>
                          </w:rPr>
                        </w:pPr>
                        <w:r w:rsidRPr="00A9675B">
                          <w:rPr>
                            <w:sz w:val="26"/>
                            <w:szCs w:val="26"/>
                          </w:rPr>
                          <w:t>675000, Амурская область,</w:t>
                        </w:r>
                      </w:p>
                      <w:p w:rsidR="007116CF" w:rsidRPr="00A9675B" w:rsidRDefault="007116CF" w:rsidP="007116CF">
                        <w:pPr>
                          <w:rPr>
                            <w:sz w:val="26"/>
                            <w:szCs w:val="26"/>
                          </w:rPr>
                        </w:pPr>
                        <w:r w:rsidRPr="00A9675B">
                          <w:rPr>
                            <w:sz w:val="26"/>
                            <w:szCs w:val="26"/>
                          </w:rPr>
                          <w:t>г. Благовещенск, ул. Шевченко, 28</w:t>
                        </w:r>
                      </w:p>
                      <w:p w:rsidR="007116CF" w:rsidRPr="00A9675B" w:rsidRDefault="007116CF" w:rsidP="007116CF">
                        <w:pPr>
                          <w:rPr>
                            <w:sz w:val="26"/>
                            <w:szCs w:val="26"/>
                          </w:rPr>
                        </w:pPr>
                        <w:r w:rsidRPr="00A9675B">
                          <w:rPr>
                            <w:sz w:val="26"/>
                            <w:szCs w:val="26"/>
                          </w:rPr>
                          <w:t>ИНН 2801108200 КПП 280150001</w:t>
                        </w:r>
                      </w:p>
                      <w:p w:rsidR="007116CF" w:rsidRPr="00A9675B" w:rsidRDefault="007116CF" w:rsidP="007116CF">
                        <w:pPr>
                          <w:rPr>
                            <w:sz w:val="26"/>
                            <w:szCs w:val="26"/>
                          </w:rPr>
                        </w:pPr>
                        <w:proofErr w:type="gramStart"/>
                        <w:r w:rsidRPr="00A9675B">
                          <w:rPr>
                            <w:sz w:val="26"/>
                            <w:szCs w:val="26"/>
                          </w:rPr>
                          <w:t>р</w:t>
                        </w:r>
                        <w:proofErr w:type="gramEnd"/>
                        <w:r w:rsidRPr="00A9675B">
                          <w:rPr>
                            <w:sz w:val="26"/>
                            <w:szCs w:val="26"/>
                          </w:rPr>
                          <w:t>/с  40702810003010113258</w:t>
                        </w:r>
                      </w:p>
                      <w:p w:rsidR="007116CF" w:rsidRPr="00A9675B" w:rsidRDefault="007116CF" w:rsidP="007116CF">
                        <w:pPr>
                          <w:spacing w:line="276" w:lineRule="auto"/>
                          <w:ind w:right="-567"/>
                          <w:rPr>
                            <w:sz w:val="26"/>
                            <w:szCs w:val="26"/>
                          </w:rPr>
                        </w:pPr>
                        <w:r w:rsidRPr="00A9675B">
                          <w:rPr>
                            <w:bCs/>
                            <w:iCs/>
                            <w:sz w:val="26"/>
                            <w:szCs w:val="26"/>
                          </w:rPr>
                          <w:t>ДАЛЬНЕВОСТОЧНЫЙ БАНК ОАО "СБЕРБАНК РОССИИ" г. Хабаровск</w:t>
                        </w:r>
                      </w:p>
                      <w:p w:rsidR="007116CF" w:rsidRPr="00A9675B" w:rsidRDefault="007116CF" w:rsidP="007116CF">
                        <w:pPr>
                          <w:rPr>
                            <w:sz w:val="26"/>
                            <w:szCs w:val="26"/>
                          </w:rPr>
                        </w:pPr>
                        <w:r w:rsidRPr="00A9675B">
                          <w:rPr>
                            <w:sz w:val="26"/>
                            <w:szCs w:val="26"/>
                          </w:rPr>
                          <w:t>к/с 30101810600000000608</w:t>
                        </w:r>
                      </w:p>
                      <w:p w:rsidR="007116CF" w:rsidRPr="00A9675B" w:rsidRDefault="007116CF" w:rsidP="007116CF">
                        <w:pPr>
                          <w:rPr>
                            <w:sz w:val="26"/>
                            <w:szCs w:val="26"/>
                          </w:rPr>
                        </w:pPr>
                        <w:r w:rsidRPr="00A9675B">
                          <w:rPr>
                            <w:sz w:val="26"/>
                            <w:szCs w:val="26"/>
                          </w:rPr>
                          <w:t>БИК 040813608</w:t>
                        </w:r>
                      </w:p>
                      <w:p w:rsidR="007116CF" w:rsidRPr="00A9675B" w:rsidRDefault="007116CF" w:rsidP="007116CF">
                        <w:pPr>
                          <w:rPr>
                            <w:b/>
                            <w:sz w:val="26"/>
                            <w:szCs w:val="26"/>
                          </w:rPr>
                        </w:pPr>
                        <w:r w:rsidRPr="00A9675B">
                          <w:rPr>
                            <w:b/>
                            <w:sz w:val="26"/>
                            <w:szCs w:val="26"/>
                          </w:rPr>
                          <w:t>Филиал ОАО «ДРСК»- «Амурские ЭС»</w:t>
                        </w:r>
                      </w:p>
                      <w:p w:rsidR="007116CF" w:rsidRPr="00A9675B" w:rsidRDefault="007116CF" w:rsidP="007116CF">
                        <w:pPr>
                          <w:rPr>
                            <w:sz w:val="26"/>
                            <w:szCs w:val="26"/>
                          </w:rPr>
                        </w:pPr>
                        <w:r w:rsidRPr="00A9675B">
                          <w:rPr>
                            <w:sz w:val="26"/>
                            <w:szCs w:val="26"/>
                          </w:rPr>
                          <w:t xml:space="preserve">675003, г. Благовещенск, </w:t>
                        </w:r>
                      </w:p>
                      <w:p w:rsidR="007116CF" w:rsidRPr="00A9675B" w:rsidRDefault="007116CF" w:rsidP="007116CF">
                        <w:pPr>
                          <w:rPr>
                            <w:sz w:val="26"/>
                            <w:szCs w:val="26"/>
                          </w:rPr>
                        </w:pPr>
                        <w:r w:rsidRPr="00A9675B">
                          <w:rPr>
                            <w:sz w:val="26"/>
                            <w:szCs w:val="26"/>
                          </w:rPr>
                          <w:t>ул. Театральная, д. 179,</w:t>
                        </w:r>
                      </w:p>
                      <w:p w:rsidR="007116CF" w:rsidRPr="00A9675B" w:rsidRDefault="007116CF" w:rsidP="007116CF">
                        <w:pPr>
                          <w:rPr>
                            <w:sz w:val="26"/>
                            <w:szCs w:val="26"/>
                          </w:rPr>
                        </w:pPr>
                        <w:r w:rsidRPr="00A9675B">
                          <w:rPr>
                            <w:sz w:val="26"/>
                            <w:szCs w:val="26"/>
                          </w:rPr>
                          <w:t>ИНН 2801108200 КПП 280102003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CF6AF6">
                    <w:tc>
                      <w:tcPr>
                        <w:tcW w:w="5000" w:type="pct"/>
                      </w:tcPr>
                      <w:p w:rsidR="007116CF" w:rsidRPr="000D5377" w:rsidRDefault="007116CF" w:rsidP="007116CF">
                        <w:pPr>
                          <w:tabs>
                            <w:tab w:val="num" w:pos="540"/>
                          </w:tabs>
                          <w:rPr>
                            <w:b/>
                            <w:sz w:val="26"/>
                            <w:szCs w:val="26"/>
                          </w:rPr>
                        </w:pPr>
                        <w:r w:rsidRPr="000D5377">
                          <w:rPr>
                            <w:b/>
                            <w:sz w:val="26"/>
                            <w:szCs w:val="26"/>
                          </w:rPr>
                          <w:t>Директор филиала  ОАО «ДРСК» -</w:t>
                        </w:r>
                      </w:p>
                      <w:p w:rsidR="007116CF" w:rsidRPr="000D5377" w:rsidRDefault="007116CF" w:rsidP="007116CF">
                        <w:pPr>
                          <w:tabs>
                            <w:tab w:val="num" w:pos="540"/>
                          </w:tabs>
                          <w:rPr>
                            <w:b/>
                            <w:sz w:val="26"/>
                            <w:szCs w:val="26"/>
                          </w:rPr>
                        </w:pPr>
                        <w:r w:rsidRPr="000D5377">
                          <w:rPr>
                            <w:b/>
                            <w:sz w:val="26"/>
                            <w:szCs w:val="26"/>
                          </w:rPr>
                          <w:t>«Амурские электрические</w:t>
                        </w:r>
                        <w:r w:rsidRPr="000D5377">
                          <w:rPr>
                            <w:sz w:val="26"/>
                            <w:szCs w:val="26"/>
                          </w:rPr>
                          <w:t xml:space="preserve"> </w:t>
                        </w:r>
                        <w:r w:rsidRPr="000D5377">
                          <w:rPr>
                            <w:b/>
                            <w:sz w:val="26"/>
                            <w:szCs w:val="26"/>
                          </w:rPr>
                          <w:t>сети»</w:t>
                        </w:r>
                      </w:p>
                    </w:tc>
                  </w:tr>
                  <w:tr w:rsidR="007116CF" w:rsidRPr="000D5377" w:rsidTr="00CF6AF6">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7116CF">
                        <w:pPr>
                          <w:tabs>
                            <w:tab w:val="num" w:pos="540"/>
                          </w:tabs>
                          <w:ind w:hanging="900"/>
                          <w:jc w:val="center"/>
                          <w:rPr>
                            <w:b/>
                            <w:sz w:val="26"/>
                            <w:szCs w:val="26"/>
                          </w:rPr>
                        </w:pPr>
                        <w:r w:rsidRPr="000D5377">
                          <w:rPr>
                            <w:b/>
                            <w:sz w:val="26"/>
                            <w:szCs w:val="26"/>
                          </w:rPr>
                          <w:t>_____________________</w:t>
                        </w:r>
                        <w:r>
                          <w:rPr>
                            <w:b/>
                            <w:sz w:val="26"/>
                            <w:szCs w:val="26"/>
                          </w:rPr>
                          <w:t>Е.</w:t>
                        </w:r>
                        <w:r w:rsidRPr="000D5377">
                          <w:rPr>
                            <w:b/>
                            <w:sz w:val="26"/>
                            <w:szCs w:val="26"/>
                          </w:rPr>
                          <w:t>В.</w:t>
                        </w:r>
                        <w:r w:rsidRPr="000D5377">
                          <w:rPr>
                            <w:b/>
                            <w:sz w:val="26"/>
                            <w:szCs w:val="26"/>
                            <w:lang w:val="en-US"/>
                          </w:rPr>
                          <w:t xml:space="preserve"> </w:t>
                        </w:r>
                        <w:proofErr w:type="spellStart"/>
                        <w:r w:rsidRPr="000D5377">
                          <w:rPr>
                            <w:b/>
                            <w:sz w:val="26"/>
                            <w:szCs w:val="26"/>
                          </w:rPr>
                          <w:t>Семенюк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EF2686" w:rsidRDefault="00EF268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4C5FC4">
          <w:pgSz w:w="11906" w:h="16838"/>
          <w:pgMar w:top="902" w:right="851" w:bottom="720"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266002">
            <w:pPr>
              <w:widowControl w:val="0"/>
              <w:spacing w:line="211" w:lineRule="exact"/>
              <w:jc w:val="center"/>
              <w:rPr>
                <w:color w:val="000000"/>
                <w:spacing w:val="-1"/>
                <w:sz w:val="21"/>
                <w:szCs w:val="21"/>
                <w:lang w:bidi="ru-RU"/>
              </w:rPr>
            </w:pPr>
            <w:r w:rsidRPr="00156E1A">
              <w:rPr>
                <w:b/>
                <w:bCs/>
                <w:color w:val="000000"/>
                <w:spacing w:val="-2"/>
                <w:sz w:val="16"/>
                <w:szCs w:val="16"/>
                <w:lang w:bidi="ru-RU"/>
              </w:rPr>
              <w:t xml:space="preserve">Идентификационный номер </w:t>
            </w:r>
            <w:proofErr w:type="spellStart"/>
            <w:r w:rsidRPr="00156E1A">
              <w:rPr>
                <w:b/>
                <w:bCs/>
                <w:color w:val="000000"/>
                <w:spacing w:val="-2"/>
                <w:sz w:val="16"/>
                <w:szCs w:val="16"/>
                <w:lang w:bidi="ru-RU"/>
              </w:rPr>
              <w:t>налогоплателыцика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114C"/>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00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CADF7-8759-40F6-9EC8-32E927968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8380</Words>
  <Characters>47768</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56036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3</cp:revision>
  <cp:lastPrinted>2013-06-24T06:38:00Z</cp:lastPrinted>
  <dcterms:created xsi:type="dcterms:W3CDTF">2014-11-20T05:44:00Z</dcterms:created>
  <dcterms:modified xsi:type="dcterms:W3CDTF">2015-01-20T02:56:00Z</dcterms:modified>
</cp:coreProperties>
</file>