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3792796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792796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420C76" w:rsidP="00B454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68668E">
              <w:rPr>
                <w:sz w:val="24"/>
                <w:szCs w:val="24"/>
              </w:rPr>
              <w:t>8</w:t>
            </w:r>
            <w:r w:rsidR="00420C76">
              <w:rPr>
                <w:sz w:val="24"/>
                <w:szCs w:val="24"/>
              </w:rPr>
              <w:t>5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</w:t>
            </w:r>
            <w:r w:rsidR="0089175C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420C76">
              <w:rPr>
                <w:sz w:val="24"/>
                <w:szCs w:val="24"/>
              </w:rPr>
              <w:t>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89175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89175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420C76" w:rsidRPr="00D86F83" w:rsidRDefault="003C690B" w:rsidP="00420C76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F1A4C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420C76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420C76">
        <w:rPr>
          <w:b/>
          <w:bCs/>
          <w:i/>
          <w:iCs/>
          <w:w w:val="110"/>
          <w:sz w:val="24"/>
          <w:szCs w:val="24"/>
        </w:rPr>
        <w:t xml:space="preserve">77 </w:t>
      </w:r>
      <w:r w:rsidR="00420C76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420C76" w:rsidRPr="00BB3408">
        <w:rPr>
          <w:b/>
          <w:bCs/>
          <w:i/>
          <w:iCs/>
          <w:sz w:val="24"/>
          <w:szCs w:val="24"/>
        </w:rPr>
        <w:t>ПИР Учебно-тренировочного комплекса (спортзал), (строительство), филиал "АЭС"</w:t>
      </w:r>
      <w:r w:rsidR="00420C76">
        <w:rPr>
          <w:bCs/>
          <w:sz w:val="24"/>
          <w:szCs w:val="24"/>
        </w:rPr>
        <w:t>.</w:t>
      </w:r>
    </w:p>
    <w:p w:rsidR="00420C76" w:rsidRPr="00014964" w:rsidRDefault="00420C76" w:rsidP="00420C76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z w:val="24"/>
          <w:szCs w:val="24"/>
        </w:rPr>
        <w:t>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1.1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Услуги КС</w:t>
      </w:r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77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12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11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293</w:t>
      </w:r>
      <w:r w:rsidRPr="00014964">
        <w:rPr>
          <w:bCs/>
          <w:iCs/>
          <w:sz w:val="24"/>
          <w:szCs w:val="24"/>
        </w:rPr>
        <w:t>.</w:t>
      </w:r>
    </w:p>
    <w:p w:rsidR="0068668E" w:rsidRPr="00014964" w:rsidRDefault="00420C76" w:rsidP="00420C76">
      <w:pPr>
        <w:tabs>
          <w:tab w:val="left" w:pos="993"/>
        </w:tabs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Pr="00014964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850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  <w:r w:rsidR="0089175C" w:rsidRPr="00D86F83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6766B3" w:rsidRPr="009B021E" w:rsidRDefault="006766B3" w:rsidP="006766B3">
      <w:pPr>
        <w:spacing w:line="240" w:lineRule="auto"/>
        <w:ind w:firstLine="0"/>
        <w:rPr>
          <w:sz w:val="24"/>
          <w:szCs w:val="24"/>
        </w:rPr>
      </w:pPr>
      <w:r w:rsidRPr="009B021E">
        <w:rPr>
          <w:sz w:val="24"/>
          <w:szCs w:val="24"/>
        </w:rPr>
        <w:t>РАССМАТРИВАЕМЫЕ ДОКУМЕНТЫ:</w:t>
      </w:r>
    </w:p>
    <w:p w:rsidR="006766B3" w:rsidRDefault="006766B3" w:rsidP="006766B3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20.01.2015г. № 185/УКС-В.</w:t>
      </w:r>
    </w:p>
    <w:p w:rsidR="006766B3" w:rsidRDefault="006766B3" w:rsidP="006766B3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Служебная записка Майорова А.А.</w:t>
      </w:r>
    </w:p>
    <w:p w:rsidR="006766B3" w:rsidRPr="003C1F2B" w:rsidRDefault="006766B3" w:rsidP="006766B3">
      <w:pPr>
        <w:snapToGrid w:val="0"/>
        <w:spacing w:line="240" w:lineRule="auto"/>
        <w:ind w:left="360" w:firstLine="0"/>
        <w:rPr>
          <w:sz w:val="24"/>
          <w:szCs w:val="24"/>
        </w:rPr>
      </w:pPr>
      <w:r w:rsidRPr="003C1F2B">
        <w:rPr>
          <w:sz w:val="24"/>
          <w:szCs w:val="24"/>
        </w:rPr>
        <w:t>.</w:t>
      </w:r>
    </w:p>
    <w:p w:rsidR="006766B3" w:rsidRDefault="006766B3" w:rsidP="006766B3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без подведения итогов»</w:t>
      </w:r>
    </w:p>
    <w:p w:rsidR="006766B3" w:rsidRDefault="006766B3" w:rsidP="006766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766B3" w:rsidRDefault="006766B3" w:rsidP="006766B3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zakupki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gov</w:t>
        </w:r>
        <w:r>
          <w:rPr>
            <w:rStyle w:val="aa"/>
            <w:szCs w:val="24"/>
          </w:rPr>
          <w:t>.</w:t>
        </w:r>
        <w:r>
          <w:rPr>
            <w:rStyle w:val="aa"/>
            <w:szCs w:val="24"/>
            <w:lang w:val="en-US"/>
          </w:rPr>
          <w:t>ru</w:t>
        </w:r>
      </w:hyperlink>
      <w:r>
        <w:rPr>
          <w:szCs w:val="24"/>
        </w:rPr>
        <w:t xml:space="preserve"> от 27.12.2014 г. № </w:t>
      </w:r>
      <w:hyperlink r:id="rId12" w:tgtFrame="_blank" w:history="1">
        <w:r w:rsidRPr="003C1F2B">
          <w:rPr>
            <w:rStyle w:val="aa"/>
            <w:rFonts w:cs="Helvetica"/>
            <w:b/>
            <w:i/>
          </w:rPr>
          <w:t>31401881380</w:t>
        </w:r>
      </w:hyperlink>
      <w:r w:rsidRPr="00B00F32">
        <w:rPr>
          <w:b/>
          <w:i/>
          <w:szCs w:val="24"/>
        </w:rPr>
        <w:t>.</w:t>
      </w:r>
    </w:p>
    <w:p w:rsidR="006766B3" w:rsidRDefault="006766B3" w:rsidP="006766B3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проводилась начиная с 10:00 (время благовещенское) 20.01.2015 г. в электронном сейфе площадки </w:t>
      </w:r>
      <w:r>
        <w:rPr>
          <w:szCs w:val="24"/>
          <w:lang w:val="en-US"/>
        </w:rPr>
        <w:t>b</w:t>
      </w:r>
      <w:r w:rsidRPr="00B15E68">
        <w:rPr>
          <w:szCs w:val="24"/>
        </w:rPr>
        <w:t>2</w:t>
      </w:r>
      <w:r>
        <w:rPr>
          <w:szCs w:val="24"/>
          <w:lang w:val="en-US"/>
        </w:rPr>
        <w:t>b</w:t>
      </w:r>
      <w:r w:rsidRPr="00B15E68">
        <w:rPr>
          <w:szCs w:val="24"/>
        </w:rPr>
        <w:t>-</w:t>
      </w:r>
      <w:r>
        <w:rPr>
          <w:szCs w:val="24"/>
          <w:lang w:val="en-US"/>
        </w:rPr>
        <w:t>energo</w:t>
      </w:r>
      <w:r w:rsidRPr="00B15E68">
        <w:rPr>
          <w:szCs w:val="24"/>
        </w:rPr>
        <w:t>.</w:t>
      </w:r>
      <w:r>
        <w:rPr>
          <w:szCs w:val="24"/>
          <w:lang w:val="en-US"/>
        </w:rPr>
        <w:t>ru</w:t>
      </w:r>
      <w:r>
        <w:rPr>
          <w:szCs w:val="24"/>
        </w:rPr>
        <w:t>.</w:t>
      </w:r>
    </w:p>
    <w:p w:rsidR="006766B3" w:rsidRDefault="006766B3" w:rsidP="006766B3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</w:rPr>
        <w:t>1 850 000</w:t>
      </w:r>
      <w:r w:rsidRPr="002A0DD0">
        <w:rPr>
          <w:b/>
          <w:i/>
        </w:rPr>
        <w:t>,00</w:t>
      </w:r>
      <w:r w:rsidRPr="00B274AC">
        <w:rPr>
          <w:b/>
          <w:bCs/>
          <w:i/>
          <w:color w:val="333333"/>
          <w:szCs w:val="24"/>
        </w:rPr>
        <w:t xml:space="preserve"> </w:t>
      </w:r>
      <w:r>
        <w:rPr>
          <w:b/>
          <w:i/>
          <w:szCs w:val="24"/>
        </w:rPr>
        <w:t xml:space="preserve"> </w:t>
      </w:r>
      <w:r w:rsidRPr="00D86F83">
        <w:rPr>
          <w:b/>
          <w:szCs w:val="24"/>
        </w:rPr>
        <w:t xml:space="preserve"> </w:t>
      </w:r>
      <w:r>
        <w:rPr>
          <w:snapToGrid w:val="0"/>
          <w:szCs w:val="24"/>
        </w:rPr>
        <w:t xml:space="preserve"> руб. без учета НДС.</w:t>
      </w:r>
    </w:p>
    <w:p w:rsidR="006766B3" w:rsidRDefault="006766B3" w:rsidP="006766B3">
      <w:pPr>
        <w:pStyle w:val="25"/>
        <w:numPr>
          <w:ilvl w:val="1"/>
          <w:numId w:val="27"/>
        </w:numPr>
        <w:tabs>
          <w:tab w:val="left" w:pos="0"/>
          <w:tab w:val="left" w:pos="1134"/>
          <w:tab w:val="left" w:pos="1276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6425"/>
        <w:gridCol w:w="2708"/>
      </w:tblGrid>
      <w:tr w:rsidR="006766B3" w:rsidRPr="003C1F2B" w:rsidTr="004D1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6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3C1F2B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6766B3" w:rsidRPr="003C1F2B" w:rsidTr="004D1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6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ООО "НЭКЦ "СФЕРА ЖКХ" (675000, Россия, Амурская обл., г. Благовещенск, ул. Богдана Хмельницкого, д. 11, оф. 304)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Цена: 1 720 000,00 руб. (НДС не облагается)</w:t>
            </w:r>
          </w:p>
        </w:tc>
      </w:tr>
      <w:tr w:rsidR="006766B3" w:rsidRPr="003C1F2B" w:rsidTr="004D1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6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ОАО "Амургражданпроект" (675000, Россия, Амурская обл., г. Благовещенск, ул. Зейская, 173)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Цена: 1 816 480,00 руб. (НДС не облагается)</w:t>
            </w:r>
          </w:p>
        </w:tc>
      </w:tr>
      <w:tr w:rsidR="006766B3" w:rsidRPr="003C1F2B" w:rsidTr="004D14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6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ООО "ЭТС-Восточный" (675000 Россия, Амурская область, Ул. Зейская 173)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6B3" w:rsidRPr="003C1F2B" w:rsidRDefault="006766B3" w:rsidP="004D14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C1F2B">
              <w:rPr>
                <w:snapToGrid/>
                <w:color w:val="333333"/>
                <w:sz w:val="22"/>
                <w:szCs w:val="22"/>
              </w:rPr>
              <w:t>Цена: 1 822 240,00 руб. (НДС не облагается)</w:t>
            </w:r>
          </w:p>
        </w:tc>
      </w:tr>
    </w:tbl>
    <w:p w:rsidR="006766B3" w:rsidRPr="003C1F2B" w:rsidRDefault="006766B3" w:rsidP="006766B3">
      <w:pPr>
        <w:pStyle w:val="21"/>
        <w:rPr>
          <w:bCs/>
          <w:i/>
          <w:iCs/>
          <w:sz w:val="24"/>
        </w:rPr>
      </w:pPr>
      <w:r w:rsidRPr="00826416">
        <w:rPr>
          <w:sz w:val="24"/>
        </w:rPr>
        <w:t>1</w:t>
      </w:r>
      <w:r>
        <w:rPr>
          <w:sz w:val="24"/>
        </w:rPr>
        <w:t>.5</w:t>
      </w:r>
      <w:r w:rsidRPr="003C1F2B">
        <w:rPr>
          <w:sz w:val="24"/>
        </w:rPr>
        <w:t>. На основании</w:t>
      </w:r>
      <w:r>
        <w:rPr>
          <w:sz w:val="24"/>
        </w:rPr>
        <w:t xml:space="preserve"> служебной записки заместителя директора по развитию и инвестициям филиала ОАО «ДРСК» «Амурские ЭС» Майорова А.А. и на основании</w:t>
      </w:r>
      <w:r w:rsidRPr="003C1F2B">
        <w:rPr>
          <w:sz w:val="24"/>
        </w:rPr>
        <w:t xml:space="preserve"> п. 1.5.5 Закупочной документации (В соответствии с Извещением о проведении запроса предложений, Организатор имеет право отказаться от проведения запроса предложений в сроки, указанные в пункте </w:t>
      </w:r>
      <w:r>
        <w:rPr>
          <w:sz w:val="24"/>
        </w:rPr>
        <w:t>4.1.12</w:t>
      </w:r>
      <w:r w:rsidRPr="003C1F2B">
        <w:rPr>
          <w:sz w:val="24"/>
        </w:rPr>
        <w:t xml:space="preserve"> раздела </w:t>
      </w:r>
      <w:r>
        <w:rPr>
          <w:sz w:val="24"/>
        </w:rPr>
        <w:t>4</w:t>
      </w:r>
      <w:r w:rsidRPr="003C1F2B">
        <w:rPr>
          <w:sz w:val="24"/>
        </w:rPr>
        <w:t xml:space="preserve">, не неся никакой ответственности перед Участниками запроса предложений или третьими лицами, которым такое действие может принести убытки. Организатор незамедлительно уведомляет всех Участников об отказе от проведения запроса предложений функционала ЭТП, а также размещения информации </w:t>
      </w:r>
      <w:r w:rsidRPr="003C1F2B">
        <w:rPr>
          <w:sz w:val="24"/>
        </w:rPr>
        <w:lastRenderedPageBreak/>
        <w:t xml:space="preserve">посредством размещения информации на официальном сайте) предлагается </w:t>
      </w:r>
      <w:r w:rsidRPr="009D5846">
        <w:rPr>
          <w:b/>
          <w:i/>
          <w:sz w:val="24"/>
        </w:rPr>
        <w:t xml:space="preserve">закрыть </w:t>
      </w:r>
      <w:r w:rsidRPr="003C1F2B">
        <w:rPr>
          <w:sz w:val="24"/>
        </w:rPr>
        <w:t xml:space="preserve">закупочную процедуру </w:t>
      </w:r>
      <w:r w:rsidRPr="009D5846">
        <w:rPr>
          <w:b/>
          <w:i/>
          <w:sz w:val="24"/>
        </w:rPr>
        <w:t>без подведения итогов</w:t>
      </w:r>
      <w:r w:rsidRPr="003C1F2B">
        <w:rPr>
          <w:sz w:val="24"/>
        </w:rPr>
        <w:t>.</w:t>
      </w:r>
    </w:p>
    <w:p w:rsidR="006766B3" w:rsidRPr="00BC25A6" w:rsidRDefault="006766B3" w:rsidP="006766B3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6766B3" w:rsidRPr="00BC25A6" w:rsidRDefault="006766B3" w:rsidP="006766B3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BC25A6">
        <w:rPr>
          <w:b/>
          <w:snapToGrid/>
          <w:sz w:val="24"/>
          <w:szCs w:val="24"/>
        </w:rPr>
        <w:t>РЕШИЛИ:</w:t>
      </w:r>
    </w:p>
    <w:p w:rsidR="006766B3" w:rsidRPr="00BC25A6" w:rsidRDefault="006766B3" w:rsidP="006766B3">
      <w:pPr>
        <w:spacing w:line="240" w:lineRule="auto"/>
        <w:rPr>
          <w:b/>
          <w:sz w:val="24"/>
          <w:szCs w:val="24"/>
        </w:rPr>
      </w:pPr>
    </w:p>
    <w:p w:rsidR="006766B3" w:rsidRPr="00BC25A6" w:rsidRDefault="006766B3" w:rsidP="006766B3">
      <w:pPr>
        <w:spacing w:line="240" w:lineRule="auto"/>
        <w:rPr>
          <w:b/>
          <w:sz w:val="24"/>
          <w:szCs w:val="24"/>
        </w:rPr>
      </w:pPr>
      <w:r w:rsidRPr="00BC25A6">
        <w:rPr>
          <w:b/>
          <w:sz w:val="24"/>
          <w:szCs w:val="24"/>
        </w:rPr>
        <w:t>По вопросу № 1:</w:t>
      </w:r>
    </w:p>
    <w:p w:rsidR="0089175C" w:rsidRPr="00BC25A6" w:rsidRDefault="006766B3" w:rsidP="006766B3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BC25A6">
        <w:rPr>
          <w:b/>
          <w:sz w:val="24"/>
          <w:szCs w:val="24"/>
        </w:rPr>
        <w:t>Закрыть</w:t>
      </w:r>
      <w:r w:rsidRPr="00BC25A6">
        <w:rPr>
          <w:sz w:val="24"/>
          <w:szCs w:val="24"/>
        </w:rPr>
        <w:t xml:space="preserve"> </w:t>
      </w:r>
      <w:r w:rsidRPr="00BC25A6">
        <w:rPr>
          <w:bCs/>
          <w:iCs/>
          <w:w w:val="110"/>
          <w:sz w:val="24"/>
          <w:szCs w:val="24"/>
        </w:rPr>
        <w:t>закупку № 77</w:t>
      </w:r>
      <w:r w:rsidRPr="00BC25A6">
        <w:rPr>
          <w:b/>
          <w:bCs/>
          <w:i/>
          <w:iCs/>
          <w:w w:val="110"/>
          <w:sz w:val="24"/>
          <w:szCs w:val="24"/>
        </w:rPr>
        <w:t xml:space="preserve">  - </w:t>
      </w:r>
      <w:r w:rsidRPr="00BC25A6">
        <w:rPr>
          <w:b/>
          <w:bCs/>
          <w:i/>
          <w:iCs/>
          <w:sz w:val="24"/>
          <w:szCs w:val="24"/>
        </w:rPr>
        <w:t xml:space="preserve">ПИР Учебно-тренировочного комплекса (спортзал), (строительство), филиал "АЭС" </w:t>
      </w:r>
      <w:r w:rsidRPr="00BC25A6">
        <w:rPr>
          <w:bCs/>
          <w:iCs/>
          <w:sz w:val="24"/>
          <w:szCs w:val="24"/>
        </w:rPr>
        <w:t>без подведения итогов</w:t>
      </w:r>
      <w:r w:rsidRPr="00BC25A6">
        <w:rPr>
          <w:bCs/>
          <w:sz w:val="24"/>
          <w:szCs w:val="24"/>
        </w:rPr>
        <w:t>.</w:t>
      </w:r>
    </w:p>
    <w:p w:rsidR="006F364F" w:rsidRPr="00186976" w:rsidRDefault="006F364F" w:rsidP="0089175C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68668E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</w:t>
            </w:r>
            <w:bookmarkStart w:id="2" w:name="_GoBack"/>
            <w:bookmarkEnd w:id="2"/>
            <w:r w:rsidRPr="00B4354F">
              <w:rPr>
                <w:sz w:val="24"/>
                <w:szCs w:val="24"/>
              </w:rPr>
              <w:t>__</w:t>
            </w:r>
          </w:p>
        </w:tc>
        <w:tc>
          <w:tcPr>
            <w:tcW w:w="2339" w:type="dxa"/>
          </w:tcPr>
          <w:p w:rsidR="00BE68B8" w:rsidRPr="00B4354F" w:rsidRDefault="0089175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32C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25" w:rsidRDefault="00E75525" w:rsidP="00355095">
      <w:pPr>
        <w:spacing w:line="240" w:lineRule="auto"/>
      </w:pPr>
      <w:r>
        <w:separator/>
      </w:r>
    </w:p>
  </w:endnote>
  <w:endnote w:type="continuationSeparator" w:id="0">
    <w:p w:rsidR="00E75525" w:rsidRDefault="00E755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5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5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25" w:rsidRDefault="00E75525" w:rsidP="00355095">
      <w:pPr>
        <w:spacing w:line="240" w:lineRule="auto"/>
      </w:pPr>
      <w:r>
        <w:separator/>
      </w:r>
    </w:p>
  </w:footnote>
  <w:footnote w:type="continuationSeparator" w:id="0">
    <w:p w:rsidR="00E75525" w:rsidRDefault="00E755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89175C">
      <w:rPr>
        <w:i/>
        <w:sz w:val="20"/>
      </w:rPr>
      <w:t>7</w:t>
    </w:r>
    <w:r w:rsidR="00420C76">
      <w:rPr>
        <w:i/>
        <w:sz w:val="20"/>
      </w:rPr>
      <w:t>7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2.</w:t>
    </w:r>
    <w:r w:rsidR="0089175C">
      <w:rPr>
        <w:i/>
        <w:sz w:val="20"/>
      </w:rPr>
      <w:t>1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06AF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051D"/>
    <w:rsid w:val="00181A8E"/>
    <w:rsid w:val="00186976"/>
    <w:rsid w:val="001924E0"/>
    <w:rsid w:val="001926AC"/>
    <w:rsid w:val="001A5691"/>
    <w:rsid w:val="001A7C30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13C43"/>
    <w:rsid w:val="003223F3"/>
    <w:rsid w:val="003225CD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0C76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30112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66B3"/>
    <w:rsid w:val="0067734E"/>
    <w:rsid w:val="00680B61"/>
    <w:rsid w:val="0068668E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9175C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51BB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4821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25A6"/>
    <w:rsid w:val="00BC5464"/>
    <w:rsid w:val="00BD1D36"/>
    <w:rsid w:val="00BE26F9"/>
    <w:rsid w:val="00BE3982"/>
    <w:rsid w:val="00BE4F07"/>
    <w:rsid w:val="00BE62F5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36DA9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5525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420C76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420C7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11756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3BFA-C5C2-4BB4-8034-D4864B13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141</cp:revision>
  <cp:lastPrinted>2015-02-04T02:46:00Z</cp:lastPrinted>
  <dcterms:created xsi:type="dcterms:W3CDTF">2013-03-05T03:51:00Z</dcterms:created>
  <dcterms:modified xsi:type="dcterms:W3CDTF">2015-02-04T02:46:00Z</dcterms:modified>
</cp:coreProperties>
</file>