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672424" w:rsidRPr="00672424">
        <w:rPr>
          <w:b/>
          <w:i/>
          <w:sz w:val="26"/>
          <w:szCs w:val="26"/>
        </w:rPr>
        <w:t>р</w:t>
      </w:r>
      <w:r w:rsidR="001D4B37" w:rsidRPr="001D4B37">
        <w:rPr>
          <w:b/>
          <w:bCs/>
          <w:i/>
          <w:iCs/>
          <w:sz w:val="26"/>
          <w:szCs w:val="26"/>
        </w:rPr>
        <w:t xml:space="preserve">еконструкции </w:t>
      </w:r>
      <w:r w:rsidR="00E02FD9">
        <w:rPr>
          <w:b/>
          <w:bCs/>
          <w:i/>
          <w:iCs/>
          <w:sz w:val="26"/>
          <w:szCs w:val="26"/>
        </w:rPr>
        <w:t xml:space="preserve">ПС </w:t>
      </w:r>
      <w:r w:rsidR="001D4B37" w:rsidRPr="001D4B37">
        <w:rPr>
          <w:b/>
          <w:bCs/>
          <w:i/>
          <w:iCs/>
          <w:sz w:val="26"/>
          <w:szCs w:val="26"/>
        </w:rPr>
        <w:t>1</w:t>
      </w:r>
      <w:r w:rsidR="00E02FD9">
        <w:rPr>
          <w:b/>
          <w:bCs/>
          <w:i/>
          <w:iCs/>
          <w:sz w:val="26"/>
          <w:szCs w:val="26"/>
        </w:rPr>
        <w:t>1</w:t>
      </w:r>
      <w:r w:rsidR="001D4B37" w:rsidRPr="001D4B37">
        <w:rPr>
          <w:b/>
          <w:bCs/>
          <w:i/>
          <w:iCs/>
          <w:sz w:val="26"/>
          <w:szCs w:val="26"/>
        </w:rPr>
        <w:t>0</w:t>
      </w:r>
      <w:r w:rsidR="00E02FD9">
        <w:rPr>
          <w:b/>
          <w:bCs/>
          <w:i/>
          <w:iCs/>
          <w:sz w:val="26"/>
          <w:szCs w:val="26"/>
        </w:rPr>
        <w:t xml:space="preserve">/35/10 </w:t>
      </w:r>
      <w:proofErr w:type="spellStart"/>
      <w:r w:rsidR="00E02FD9">
        <w:rPr>
          <w:b/>
          <w:bCs/>
          <w:i/>
          <w:iCs/>
          <w:sz w:val="26"/>
          <w:szCs w:val="26"/>
        </w:rPr>
        <w:t>кВ</w:t>
      </w:r>
      <w:proofErr w:type="spellEnd"/>
      <w:r w:rsidR="001D4B37" w:rsidRPr="001D4B37">
        <w:rPr>
          <w:b/>
          <w:bCs/>
          <w:i/>
          <w:iCs/>
          <w:sz w:val="26"/>
          <w:szCs w:val="26"/>
        </w:rPr>
        <w:t xml:space="preserve"> Серышево</w:t>
      </w:r>
      <w:r w:rsidR="00AA5F7F" w:rsidRPr="001D4B37">
        <w:rPr>
          <w:b/>
          <w:bCs/>
          <w:i/>
          <w:iCs/>
          <w:w w:val="110"/>
          <w:sz w:val="26"/>
          <w:szCs w:val="26"/>
        </w:rPr>
        <w:t>,</w:t>
      </w:r>
      <w:r w:rsidR="00AA5F7F" w:rsidRPr="00AA5F7F">
        <w:rPr>
          <w:b/>
          <w:bCs/>
          <w:i/>
          <w:iCs/>
          <w:w w:val="110"/>
          <w:sz w:val="26"/>
          <w:szCs w:val="26"/>
        </w:rPr>
        <w:t xml:space="preserve"> </w:t>
      </w:r>
      <w:r w:rsidR="00E74BC7">
        <w:rPr>
          <w:b/>
          <w:bCs/>
          <w:i/>
          <w:iCs/>
          <w:sz w:val="26"/>
          <w:szCs w:val="26"/>
        </w:rPr>
        <w:t>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w:t>
      </w:r>
      <w:bookmarkStart w:id="0" w:name="_GoBack"/>
      <w:bookmarkEnd w:id="0"/>
      <w:r w:rsidR="009825BF" w:rsidRPr="00D17EA0">
        <w:rPr>
          <w:sz w:val="26"/>
          <w:szCs w:val="26"/>
        </w:rPr>
        <w:t xml:space="preserve">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E02FD9">
        <w:rPr>
          <w:sz w:val="26"/>
          <w:szCs w:val="26"/>
        </w:rPr>
        <w:t>15 марта 2015 г</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A221-A63B-4832-93C5-F581EDA2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8382</Words>
  <Characters>47778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2014-12-08T05:31:00Z</dcterms:created>
  <dcterms:modified xsi:type="dcterms:W3CDTF">2014-12-08T05:55:00Z</dcterms:modified>
</cp:coreProperties>
</file>