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4A4F7E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A606CE" w:rsidRPr="00A606CE" w:rsidRDefault="00A606CE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A606CE">
        <w:rPr>
          <w:b/>
          <w:bCs/>
          <w:i/>
          <w:sz w:val="36"/>
          <w:szCs w:val="36"/>
        </w:rPr>
        <w:t xml:space="preserve">Капремонт ВЛ-110 кВ ГРЭС-Михайловка, ВЛ-110 кВ ГРЭС-Бурейск, ВЛ-35 кВ Архара-Набережная, ВЛ-35 кВ Широкий-А, филиал "АЭС"  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606CE" w:rsidP="003B6B27">
      <w:pPr>
        <w:spacing w:line="240" w:lineRule="auto"/>
        <w:ind w:firstLine="0"/>
        <w:jc w:val="center"/>
      </w:pPr>
      <w:r>
        <w:t>(закупка 11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</w:t>
        </w:r>
        <w:r w:rsidR="00156815" w:rsidRPr="00B521A5">
          <w:rPr>
            <w:rStyle w:val="ac"/>
          </w:rPr>
          <w:t>д</w:t>
        </w:r>
        <w:r w:rsidR="00156815" w:rsidRPr="00B521A5">
          <w:rPr>
            <w:rStyle w:val="ac"/>
          </w:rPr>
          <w:t>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B43B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606CE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 w:rsidRPr="00A606CE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606CE" w:rsidRPr="00A606CE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 w:rsidRPr="00A606CE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606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606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606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606CE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606CE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>675003, г. Благовещенск, ул. Театральная,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B43BD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5102" w:rsidRPr="0098476B" w:rsidRDefault="00A606CE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1D30D4">
              <w:rPr>
                <w:b/>
                <w:bCs/>
                <w:i/>
                <w:sz w:val="26"/>
                <w:szCs w:val="26"/>
              </w:rPr>
              <w:t xml:space="preserve">Капремонт ВЛ-110 кВ ГРЭС-Михайловка, ВЛ-110 кВ ГРЭС-Бурейск, ВЛ-35 кВ Архара-Набережная, ВЛ-35 кВ Широкий-А, филиал "АЭС" </w:t>
            </w:r>
            <w:r w:rsidRPr="00992432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476C32">
              <w:rPr>
                <w:bCs/>
                <w:i/>
                <w:sz w:val="24"/>
              </w:rPr>
              <w:t>Амурская область</w:t>
            </w:r>
          </w:p>
          <w:p w:rsidR="007900C6" w:rsidRPr="005D0C5D" w:rsidRDefault="008A74D8" w:rsidP="00A606CE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A606CE">
              <w:rPr>
                <w:sz w:val="26"/>
                <w:szCs w:val="26"/>
              </w:rPr>
              <w:t>январь – ноябрь 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606CE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D0C5D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A606CE">
              <w:rPr>
                <w:b/>
                <w:sz w:val="26"/>
                <w:szCs w:val="26"/>
              </w:rPr>
              <w:t>3 774</w:t>
            </w:r>
            <w:r w:rsidR="004342B5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В случае, если стоимость работ предложенная Участником 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606CE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lastRenderedPageBreak/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</w:t>
            </w:r>
            <w:r w:rsidRPr="00C35064">
              <w:rPr>
                <w:color w:val="000000"/>
                <w:sz w:val="24"/>
              </w:rPr>
              <w:lastRenderedPageBreak/>
              <w:t xml:space="preserve">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</w:t>
            </w:r>
            <w:r w:rsidRPr="00C35064">
              <w:rPr>
                <w:sz w:val="24"/>
                <w:szCs w:val="24"/>
              </w:rPr>
              <w:lastRenderedPageBreak/>
              <w:t xml:space="preserve">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</w:t>
            </w:r>
            <w:r w:rsidRPr="00C35064">
              <w:rPr>
                <w:sz w:val="24"/>
                <w:szCs w:val="24"/>
              </w:rPr>
              <w:lastRenderedPageBreak/>
              <w:t>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 xml:space="preserve">Примечание: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4342B5" w:rsidRPr="00EA7161" w:rsidRDefault="004342B5" w:rsidP="004342B5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4342B5" w:rsidRDefault="004342B5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отзывы заказчиков по аналогичным договорам, справку в </w:t>
            </w:r>
            <w:r>
              <w:rPr>
                <w:sz w:val="24"/>
              </w:rPr>
              <w:lastRenderedPageBreak/>
              <w:t>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606CE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606CE">
              <w:rPr>
                <w:b/>
                <w:i/>
                <w:color w:val="000000"/>
                <w:sz w:val="24"/>
                <w:szCs w:val="24"/>
              </w:rPr>
              <w:t>27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606C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606CE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>0</w:t>
            </w:r>
            <w:r w:rsidR="00A606CE">
              <w:rPr>
                <w:b/>
                <w:i/>
                <w:color w:val="000000"/>
                <w:sz w:val="24"/>
              </w:rPr>
              <w:t>4</w:t>
            </w:r>
            <w:r w:rsidR="004342B5">
              <w:rPr>
                <w:b/>
                <w:i/>
                <w:color w:val="000000"/>
                <w:sz w:val="24"/>
              </w:rPr>
              <w:t>:00 час</w:t>
            </w:r>
            <w:r w:rsidR="00A606CE">
              <w:rPr>
                <w:b/>
                <w:i/>
                <w:color w:val="000000"/>
                <w:sz w:val="24"/>
              </w:rPr>
              <w:t>а</w:t>
            </w:r>
            <w:r w:rsidR="004342B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606CE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606C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606CE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606CE">
              <w:rPr>
                <w:b/>
                <w:i/>
                <w:color w:val="000000"/>
                <w:sz w:val="24"/>
              </w:rPr>
              <w:t>04</w:t>
            </w:r>
            <w:r w:rsidR="004342B5">
              <w:rPr>
                <w:b/>
                <w:i/>
                <w:color w:val="000000"/>
                <w:sz w:val="24"/>
              </w:rPr>
              <w:t>:00 час</w:t>
            </w:r>
            <w:r w:rsidR="00A606CE">
              <w:rPr>
                <w:b/>
                <w:i/>
                <w:color w:val="000000"/>
                <w:sz w:val="24"/>
              </w:rPr>
              <w:t>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606CE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</w:t>
            </w:r>
            <w:r w:rsidRPr="005D0C5D">
              <w:rPr>
                <w:rFonts w:ascii="Times New Roman" w:hAnsi="Times New Roman"/>
                <w:szCs w:val="24"/>
              </w:rPr>
              <w:lastRenderedPageBreak/>
              <w:t xml:space="preserve">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606CE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606CE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A606CE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A606CE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476C32" w:rsidRPr="00A606CE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A606CE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A606CE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A606CE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A606CE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672E5E" w:rsidRPr="00A606CE">
              <w:rPr>
                <w:b/>
                <w:i/>
                <w:color w:val="000000"/>
                <w:sz w:val="24"/>
                <w:szCs w:val="24"/>
              </w:rPr>
              <w:t>2015</w:t>
            </w:r>
            <w:r w:rsidRPr="00A606CE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A606CE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A606CE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A606C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A606CE">
              <w:rPr>
                <w:sz w:val="24"/>
                <w:szCs w:val="24"/>
              </w:rPr>
              <w:t>Подведение итогов запроса предложений</w:t>
            </w:r>
            <w:r w:rsidRPr="00A606CE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476C32" w:rsidRPr="00A606CE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A606CE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A606CE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A606CE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672E5E" w:rsidRPr="00A606CE">
              <w:rPr>
                <w:b/>
                <w:i/>
                <w:color w:val="000000"/>
                <w:sz w:val="24"/>
                <w:szCs w:val="24"/>
              </w:rPr>
              <w:t xml:space="preserve"> 2015</w:t>
            </w:r>
            <w:r w:rsidRPr="00A606CE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A606CE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A606CE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  <w:bookmarkStart w:id="289" w:name="_GoBack"/>
            <w:bookmarkEnd w:id="289"/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606CE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606CE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606CE" w:rsidRPr="00C35064">
        <w:t>Техническое предложение (форма</w:t>
      </w:r>
      <w:r w:rsidR="00A606CE" w:rsidRPr="00C35064">
        <w:rPr>
          <w:noProof/>
        </w:rPr>
        <w:t xml:space="preserve"> </w:t>
      </w:r>
      <w:r w:rsidR="00A606CE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606CE" w:rsidRPr="00C35064">
        <w:rPr>
          <w:color w:val="000000"/>
        </w:rPr>
        <w:t>График выполнения работ (оказания услуг)</w:t>
      </w:r>
      <w:r w:rsidR="00A606CE" w:rsidRPr="00C35064" w:rsidDel="00691F2A">
        <w:rPr>
          <w:color w:val="000000"/>
        </w:rPr>
        <w:t xml:space="preserve"> </w:t>
      </w:r>
      <w:r w:rsidR="00A606CE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606CE">
        <w:t>Таблица стоимости работ</w:t>
      </w:r>
      <w:r w:rsidR="00A606CE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606CE" w:rsidRPr="00C35064">
        <w:rPr>
          <w:color w:val="000000"/>
        </w:rPr>
        <w:t xml:space="preserve">График </w:t>
      </w:r>
      <w:r w:rsidR="00A606CE">
        <w:rPr>
          <w:color w:val="000000"/>
        </w:rPr>
        <w:t xml:space="preserve">оплаты </w:t>
      </w:r>
      <w:r w:rsidR="00A606CE" w:rsidRPr="00C35064">
        <w:rPr>
          <w:color w:val="000000"/>
        </w:rPr>
        <w:t>выполнения работ (оказания услуг)</w:t>
      </w:r>
      <w:r w:rsidR="00A606CE" w:rsidRPr="00C35064" w:rsidDel="0024632F">
        <w:rPr>
          <w:color w:val="000000"/>
        </w:rPr>
        <w:t xml:space="preserve"> </w:t>
      </w:r>
      <w:r w:rsidR="00A606CE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606CE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606CE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606CE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606CE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606CE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606CE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606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606C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606CE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606CE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606CE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606CE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606CE" w:rsidRPr="00A606CE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606CE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606CE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606CE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606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606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606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606CE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606CE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Текст проекта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3BD" w:rsidRDefault="002B43BD">
      <w:r>
        <w:separator/>
      </w:r>
    </w:p>
  </w:endnote>
  <w:endnote w:type="continuationSeparator" w:id="0">
    <w:p w:rsidR="002B43BD" w:rsidRDefault="002B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606CE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606C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606CE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606C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3BD" w:rsidRDefault="002B43BD">
      <w:r>
        <w:separator/>
      </w:r>
    </w:p>
  </w:footnote>
  <w:footnote w:type="continuationSeparator" w:id="0">
    <w:p w:rsidR="002B43BD" w:rsidRDefault="002B4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43BD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342B5"/>
    <w:rsid w:val="00441D61"/>
    <w:rsid w:val="004455D1"/>
    <w:rsid w:val="00451C30"/>
    <w:rsid w:val="00452C47"/>
    <w:rsid w:val="00453B4C"/>
    <w:rsid w:val="00461816"/>
    <w:rsid w:val="00461EA7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72E5E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06CE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18B7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2A3A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07EC-2DFB-410E-81EC-452FEF2A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71</Pages>
  <Words>18602</Words>
  <Characters>106035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124389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20</cp:revision>
  <cp:lastPrinted>2014-11-27T05:12:00Z</cp:lastPrinted>
  <dcterms:created xsi:type="dcterms:W3CDTF">2014-08-18T03:57:00Z</dcterms:created>
  <dcterms:modified xsi:type="dcterms:W3CDTF">2014-11-27T05:13:00Z</dcterms:modified>
</cp:coreProperties>
</file>